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632" w:rsidRPr="00060DB2" w:rsidRDefault="00582632" w:rsidP="00582632">
      <w:pPr>
        <w:spacing w:line="240" w:lineRule="auto"/>
        <w:jc w:val="center"/>
        <w:rPr>
          <w:rFonts w:ascii="Garamond" w:hAnsi="Garamond"/>
          <w:b/>
          <w:smallCaps/>
          <w:sz w:val="28"/>
        </w:rPr>
      </w:pPr>
      <w:bookmarkStart w:id="0" w:name="_GoBack"/>
      <w:bookmarkEnd w:id="0"/>
      <w:r w:rsidRPr="00060DB2">
        <w:rPr>
          <w:rFonts w:ascii="Garamond" w:hAnsi="Garamond"/>
          <w:b/>
          <w:smallCaps/>
          <w:sz w:val="28"/>
        </w:rPr>
        <w:t>Zagreber germanistische Beiträge</w:t>
      </w:r>
    </w:p>
    <w:p w:rsidR="00582632" w:rsidRPr="00060DB2" w:rsidRDefault="00582632" w:rsidP="00582632">
      <w:pPr>
        <w:spacing w:line="240" w:lineRule="auto"/>
        <w:jc w:val="center"/>
        <w:rPr>
          <w:rFonts w:ascii="Garamond" w:hAnsi="Garamond"/>
        </w:rPr>
      </w:pPr>
    </w:p>
    <w:p w:rsidR="00582632" w:rsidRPr="00060DB2" w:rsidRDefault="00582632" w:rsidP="00582632">
      <w:pPr>
        <w:spacing w:line="240" w:lineRule="auto"/>
        <w:jc w:val="center"/>
        <w:rPr>
          <w:rFonts w:ascii="Garamond" w:hAnsi="Garamond"/>
          <w:b/>
          <w:smallCaps/>
          <w:sz w:val="20"/>
          <w:lang w:val="hr-HR"/>
        </w:rPr>
      </w:pPr>
      <w:r w:rsidRPr="00060DB2">
        <w:rPr>
          <w:rFonts w:ascii="Garamond" w:hAnsi="Garamond"/>
          <w:b/>
          <w:smallCaps/>
          <w:sz w:val="20"/>
        </w:rPr>
        <w:t>Sveu</w:t>
      </w:r>
      <w:r w:rsidRPr="00060DB2">
        <w:rPr>
          <w:rFonts w:ascii="Garamond" w:hAnsi="Garamond"/>
          <w:b/>
          <w:smallCaps/>
          <w:sz w:val="20"/>
          <w:lang w:val="hr-HR"/>
        </w:rPr>
        <w:t xml:space="preserve">čilište u zagrebu  </w:t>
      </w:r>
      <w:r w:rsidRPr="00060DB2">
        <w:rPr>
          <w:rFonts w:ascii="Garamond" w:hAnsi="Garamond"/>
          <w:b/>
          <w:smallCaps/>
          <w:sz w:val="20"/>
        </w:rPr>
        <w:t>•  filozofski fakultet  •  odsjek za germanistiku</w:t>
      </w:r>
    </w:p>
    <w:p w:rsidR="00582632" w:rsidRPr="00060DB2" w:rsidRDefault="00582632" w:rsidP="00582632">
      <w:pPr>
        <w:spacing w:line="240" w:lineRule="auto"/>
        <w:jc w:val="center"/>
        <w:rPr>
          <w:rFonts w:ascii="Garamond" w:hAnsi="Garamond"/>
          <w:b/>
          <w:smallCaps/>
          <w:sz w:val="20"/>
        </w:rPr>
      </w:pPr>
      <w:r w:rsidRPr="00060DB2">
        <w:rPr>
          <w:rFonts w:ascii="Garamond" w:hAnsi="Garamond"/>
          <w:b/>
          <w:smallCaps/>
          <w:sz w:val="20"/>
        </w:rPr>
        <w:t>Universität Zagreb  •  Philosophische Fakultät  •  Abteilung für Germanistik</w:t>
      </w:r>
    </w:p>
    <w:p w:rsidR="00582632" w:rsidRPr="00060DB2" w:rsidRDefault="00582632" w:rsidP="00582632">
      <w:pPr>
        <w:pBdr>
          <w:bottom w:val="single" w:sz="4" w:space="1" w:color="auto"/>
        </w:pBdr>
        <w:spacing w:line="240" w:lineRule="auto"/>
        <w:jc w:val="center"/>
        <w:rPr>
          <w:rFonts w:ascii="Garamond" w:hAnsi="Garamond"/>
          <w:sz w:val="20"/>
        </w:rPr>
      </w:pPr>
      <w:r w:rsidRPr="005701E9">
        <w:rPr>
          <w:rFonts w:ascii="Garamond" w:hAnsi="Garamond"/>
          <w:sz w:val="20"/>
          <w:lang w:val="pl-PL"/>
        </w:rPr>
        <w:t xml:space="preserve">Ivana Lučića 3 • HR-10000 Zagreb • Fax. </w:t>
      </w:r>
      <w:r w:rsidRPr="00060DB2">
        <w:rPr>
          <w:rFonts w:ascii="Garamond" w:hAnsi="Garamond"/>
          <w:sz w:val="20"/>
        </w:rPr>
        <w:t>+385-1-6156 879 • Tel. +385-1-600 2362</w:t>
      </w:r>
    </w:p>
    <w:p w:rsidR="00582632" w:rsidRPr="00060DB2" w:rsidRDefault="00582632" w:rsidP="00582632">
      <w:pPr>
        <w:pBdr>
          <w:bottom w:val="single" w:sz="4" w:space="1" w:color="auto"/>
        </w:pBdr>
        <w:spacing w:line="240" w:lineRule="auto"/>
        <w:jc w:val="center"/>
        <w:rPr>
          <w:rFonts w:ascii="Garamond" w:hAnsi="Garamond"/>
          <w:smallCaps/>
          <w:sz w:val="20"/>
        </w:rPr>
      </w:pPr>
      <w:r w:rsidRPr="00060DB2">
        <w:rPr>
          <w:rFonts w:ascii="Garamond" w:hAnsi="Garamond"/>
          <w:sz w:val="20"/>
          <w:szCs w:val="20"/>
        </w:rPr>
        <w:t>http://www.ffzg.hr/german/zgb</w:t>
      </w:r>
    </w:p>
    <w:p w:rsidR="00A90C36" w:rsidRPr="00060DB2" w:rsidRDefault="00A90C36" w:rsidP="00953181">
      <w:pPr>
        <w:pBdr>
          <w:bottom w:val="single" w:sz="4" w:space="1" w:color="auto"/>
        </w:pBdr>
        <w:spacing w:line="240" w:lineRule="auto"/>
        <w:jc w:val="center"/>
        <w:rPr>
          <w:sz w:val="20"/>
        </w:rPr>
      </w:pPr>
    </w:p>
    <w:p w:rsidR="00E92849" w:rsidRDefault="00E92849" w:rsidP="00953181"/>
    <w:p w:rsidR="000979C6" w:rsidRPr="00060DB2" w:rsidRDefault="000979C6" w:rsidP="00953181"/>
    <w:p w:rsidR="00A74DAD" w:rsidRDefault="00A74DAD" w:rsidP="00A74DAD">
      <w:pPr>
        <w:jc w:val="center"/>
        <w:rPr>
          <w:smallCaps/>
          <w:sz w:val="28"/>
        </w:rPr>
      </w:pPr>
      <w:r w:rsidRPr="00A74DAD">
        <w:rPr>
          <w:smallCaps/>
          <w:sz w:val="28"/>
        </w:rPr>
        <w:t>1.  Allgemeine hinweise</w:t>
      </w:r>
    </w:p>
    <w:p w:rsidR="00AE24D2" w:rsidRPr="00AE24D2" w:rsidRDefault="00AE24D2" w:rsidP="00A74DAD">
      <w:pPr>
        <w:jc w:val="center"/>
        <w:rPr>
          <w:smallCaps/>
          <w:sz w:val="16"/>
          <w:szCs w:val="16"/>
        </w:rPr>
      </w:pPr>
    </w:p>
    <w:p w:rsidR="000979C6" w:rsidRDefault="000979C6" w:rsidP="000979C6">
      <w:pPr>
        <w:jc w:val="center"/>
        <w:rPr>
          <w:smallCaps/>
          <w:sz w:val="28"/>
          <w:szCs w:val="28"/>
        </w:rPr>
      </w:pPr>
      <w:r w:rsidRPr="000979C6">
        <w:rPr>
          <w:rFonts w:ascii="TimesNewRoman,Bold" w:hAnsi="TimesNewRoman,Bold"/>
          <w:noProof w:val="0"/>
          <w:sz w:val="28"/>
          <w:szCs w:val="28"/>
        </w:rPr>
        <w:t>2.</w:t>
      </w:r>
      <w:r w:rsidRPr="00A74DAD">
        <w:rPr>
          <w:rFonts w:ascii="TimesNewRoman,Bold" w:hAnsi="TimesNewRoman,Bold"/>
          <w:noProof w:val="0"/>
        </w:rPr>
        <w:t xml:space="preserve"> </w:t>
      </w:r>
      <w:r>
        <w:rPr>
          <w:smallCaps/>
          <w:sz w:val="28"/>
          <w:szCs w:val="28"/>
        </w:rPr>
        <w:t>Hinweise zur</w:t>
      </w:r>
      <w:r w:rsidRPr="00A74DAD">
        <w:rPr>
          <w:smallCaps/>
          <w:sz w:val="28"/>
          <w:szCs w:val="28"/>
        </w:rPr>
        <w:t xml:space="preserve"> </w:t>
      </w:r>
      <w:r>
        <w:rPr>
          <w:smallCaps/>
          <w:sz w:val="28"/>
          <w:szCs w:val="28"/>
        </w:rPr>
        <w:t>Lektur</w:t>
      </w:r>
    </w:p>
    <w:p w:rsidR="00AE24D2" w:rsidRPr="00AE24D2" w:rsidRDefault="00AE24D2" w:rsidP="000979C6">
      <w:pPr>
        <w:jc w:val="center"/>
        <w:rPr>
          <w:smallCaps/>
          <w:sz w:val="16"/>
          <w:szCs w:val="16"/>
        </w:rPr>
      </w:pPr>
    </w:p>
    <w:p w:rsidR="00AE24D2" w:rsidRDefault="000979C6" w:rsidP="00A74DAD">
      <w:pPr>
        <w:jc w:val="center"/>
        <w:rPr>
          <w:smallCaps/>
          <w:sz w:val="28"/>
        </w:rPr>
      </w:pPr>
      <w:r>
        <w:rPr>
          <w:smallCaps/>
          <w:sz w:val="28"/>
        </w:rPr>
        <w:t>3</w:t>
      </w:r>
      <w:r w:rsidR="00A74DAD" w:rsidRPr="00A74DAD">
        <w:rPr>
          <w:smallCaps/>
          <w:sz w:val="28"/>
        </w:rPr>
        <w:t xml:space="preserve">. Hinweise zur </w:t>
      </w:r>
      <w:r w:rsidR="00E92849">
        <w:rPr>
          <w:smallCaps/>
          <w:sz w:val="28"/>
        </w:rPr>
        <w:t xml:space="preserve">formalen </w:t>
      </w:r>
      <w:r w:rsidR="00A74DAD" w:rsidRPr="00A74DAD">
        <w:rPr>
          <w:smallCaps/>
          <w:sz w:val="28"/>
        </w:rPr>
        <w:t>gestaltung</w:t>
      </w:r>
    </w:p>
    <w:p w:rsidR="00AE24D2" w:rsidRPr="00AE24D2" w:rsidRDefault="00AE24D2" w:rsidP="00A74DAD">
      <w:pPr>
        <w:jc w:val="center"/>
        <w:rPr>
          <w:smallCaps/>
          <w:sz w:val="16"/>
          <w:szCs w:val="16"/>
        </w:rPr>
      </w:pPr>
    </w:p>
    <w:p w:rsidR="00B05063" w:rsidRPr="000649F6" w:rsidRDefault="008603F3" w:rsidP="00A74DAD">
      <w:pPr>
        <w:jc w:val="center"/>
        <w:rPr>
          <w:smallCaps/>
          <w:sz w:val="28"/>
        </w:rPr>
      </w:pPr>
      <w:r>
        <w:rPr>
          <w:smallCaps/>
          <w:sz w:val="28"/>
        </w:rPr>
        <w:t>(</w:t>
      </w:r>
      <w:r w:rsidR="000649F6" w:rsidRPr="000649F6">
        <w:rPr>
          <w:smallCaps/>
          <w:sz w:val="28"/>
        </w:rPr>
        <w:t>3.a. noch ausführlicher</w:t>
      </w:r>
      <w:r>
        <w:rPr>
          <w:smallCaps/>
          <w:sz w:val="28"/>
        </w:rPr>
        <w:t>)</w:t>
      </w:r>
    </w:p>
    <w:p w:rsidR="00B05063" w:rsidRDefault="00B05063" w:rsidP="00A74DAD">
      <w:pPr>
        <w:jc w:val="center"/>
        <w:rPr>
          <w:smallCaps/>
          <w:sz w:val="28"/>
        </w:rPr>
      </w:pPr>
    </w:p>
    <w:p w:rsidR="00A74DAD" w:rsidRDefault="00A74DAD" w:rsidP="00A74DAD">
      <w:pPr>
        <w:pBdr>
          <w:bottom w:val="single" w:sz="4" w:space="1" w:color="auto"/>
        </w:pBdr>
        <w:jc w:val="center"/>
        <w:rPr>
          <w:b/>
          <w:smallCaps/>
          <w:sz w:val="28"/>
        </w:rPr>
      </w:pPr>
    </w:p>
    <w:p w:rsidR="00160404" w:rsidRDefault="00160404" w:rsidP="00953181">
      <w:pPr>
        <w:jc w:val="center"/>
        <w:rPr>
          <w:b/>
          <w:smallCaps/>
          <w:sz w:val="28"/>
        </w:rPr>
      </w:pPr>
    </w:p>
    <w:p w:rsidR="000979C6" w:rsidRPr="00060DB2" w:rsidRDefault="000979C6" w:rsidP="00953181">
      <w:pPr>
        <w:jc w:val="center"/>
        <w:rPr>
          <w:b/>
          <w:smallCaps/>
          <w:sz w:val="28"/>
        </w:rPr>
      </w:pPr>
    </w:p>
    <w:p w:rsidR="00160404" w:rsidRPr="00060DB2" w:rsidRDefault="00A74DAD" w:rsidP="00FD0C3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 xml:space="preserve">1. </w:t>
      </w:r>
      <w:r w:rsidR="00160404" w:rsidRPr="00060DB2">
        <w:rPr>
          <w:b/>
          <w:smallCaps/>
          <w:sz w:val="28"/>
        </w:rPr>
        <w:t>Allgemeine hinweise</w:t>
      </w:r>
    </w:p>
    <w:p w:rsidR="003E23DE" w:rsidRDefault="003E23DE" w:rsidP="00FD0C3A"/>
    <w:p w:rsidR="00F4346C" w:rsidRPr="00060DB2" w:rsidRDefault="00B81824" w:rsidP="000979C6">
      <w:pPr>
        <w:ind w:firstLine="0"/>
        <w:jc w:val="both"/>
      </w:pPr>
      <w:r w:rsidRPr="00FD0C3A">
        <w:t>Die Zeitschrift</w:t>
      </w:r>
      <w:r>
        <w:rPr>
          <w:b/>
        </w:rPr>
        <w:t xml:space="preserve"> </w:t>
      </w:r>
      <w:r w:rsidR="00EE0851" w:rsidRPr="003E23DE">
        <w:rPr>
          <w:b/>
        </w:rPr>
        <w:t>Z</w:t>
      </w:r>
      <w:r>
        <w:rPr>
          <w:b/>
        </w:rPr>
        <w:t xml:space="preserve">agreber Germanistische Beiträge </w:t>
      </w:r>
      <w:r w:rsidR="00EE0851" w:rsidRPr="00060DB2">
        <w:t>veröffentlicht</w:t>
      </w:r>
      <w:r>
        <w:t xml:space="preserve"> </w:t>
      </w:r>
      <w:r w:rsidRPr="00B81824">
        <w:t>wissenschaftliche</w:t>
      </w:r>
      <w:r>
        <w:t xml:space="preserve"> </w:t>
      </w:r>
      <w:r w:rsidRPr="00B81824">
        <w:t>Arbeiten, fachdidaktische Berichte</w:t>
      </w:r>
      <w:r w:rsidR="00736102">
        <w:t xml:space="preserve">, </w:t>
      </w:r>
      <w:r w:rsidRPr="00B81824">
        <w:t>Buchbesprechungen</w:t>
      </w:r>
      <w:r w:rsidR="00736102">
        <w:t xml:space="preserve"> </w:t>
      </w:r>
      <w:r w:rsidR="005B60D9">
        <w:t>und</w:t>
      </w:r>
      <w:r w:rsidR="00736102">
        <w:t xml:space="preserve"> </w:t>
      </w:r>
      <w:r w:rsidR="005B60D9">
        <w:t>Konferenzber</w:t>
      </w:r>
      <w:r w:rsidR="00736102">
        <w:t>ichte.</w:t>
      </w:r>
      <w:r w:rsidRPr="00B81824">
        <w:t xml:space="preserve"> </w:t>
      </w:r>
      <w:r w:rsidR="00EE0851" w:rsidRPr="00060DB2">
        <w:rPr>
          <w:b/>
        </w:rPr>
        <w:t>Sprache</w:t>
      </w:r>
      <w:r w:rsidR="00EE0851" w:rsidRPr="00060DB2">
        <w:t>:</w:t>
      </w:r>
      <w:r w:rsidR="0056672B">
        <w:t xml:space="preserve"> </w:t>
      </w:r>
      <w:r w:rsidR="005701E9">
        <w:t>Beiträge in deutscher Sprache;</w:t>
      </w:r>
      <w:r w:rsidR="005701E9" w:rsidRPr="00060DB2">
        <w:t xml:space="preserve"> </w:t>
      </w:r>
      <w:r w:rsidR="005701E9">
        <w:t xml:space="preserve">bitte mit </w:t>
      </w:r>
      <w:r w:rsidR="005701E9" w:rsidRPr="00060DB2">
        <w:t>Zusammenfassung</w:t>
      </w:r>
      <w:r w:rsidR="005701E9">
        <w:t xml:space="preserve"> (bis zu 700 Zeichen) und 3–5 Schlagwörtern</w:t>
      </w:r>
      <w:r w:rsidR="005701E9" w:rsidRPr="00060DB2">
        <w:t>.</w:t>
      </w:r>
      <w:r w:rsidR="00EE0851" w:rsidRPr="00060DB2">
        <w:t xml:space="preserve"> </w:t>
      </w:r>
      <w:r w:rsidR="00F4346C" w:rsidRPr="00060DB2">
        <w:rPr>
          <w:b/>
        </w:rPr>
        <w:t>Lektorat</w:t>
      </w:r>
      <w:r w:rsidR="00F4346C" w:rsidRPr="00060DB2">
        <w:t>: Eingereichte Beiträge, die eine tief greifende sprachliche oder stilistis</w:t>
      </w:r>
      <w:r w:rsidR="008F6038">
        <w:t xml:space="preserve">che Lektur benötigen, gehen an </w:t>
      </w:r>
      <w:r w:rsidR="0056672B">
        <w:t>Verf.</w:t>
      </w:r>
      <w:r w:rsidR="008F6038">
        <w:t xml:space="preserve"> mit </w:t>
      </w:r>
      <w:r w:rsidR="00F4346C" w:rsidRPr="00060DB2">
        <w:t xml:space="preserve">der Bitte um Nachbesserung </w:t>
      </w:r>
      <w:r w:rsidR="00D72326">
        <w:t xml:space="preserve">bzw. Lektur </w:t>
      </w:r>
      <w:r w:rsidR="00F4346C" w:rsidRPr="00060DB2">
        <w:t xml:space="preserve">zurück. </w:t>
      </w:r>
      <w:r w:rsidR="00F4346C" w:rsidRPr="00060DB2">
        <w:rPr>
          <w:b/>
        </w:rPr>
        <w:t>Begutachtung</w:t>
      </w:r>
      <w:r w:rsidR="00F4346C" w:rsidRPr="00060DB2">
        <w:t xml:space="preserve">: </w:t>
      </w:r>
      <w:r w:rsidR="009967C1">
        <w:t xml:space="preserve">Eingereichte wissenschaftliche Arbeiten werden </w:t>
      </w:r>
      <w:r w:rsidR="00F4346C" w:rsidRPr="00060DB2">
        <w:t>von zwei GutachterInnen anonym begutachtet. Für Beiträge von Mitgliedern des Instituts, das als Hg. der ZGB zeichnet, werden die Gutachten ausnahmslos aus dem Ausland eingeholt.</w:t>
      </w:r>
    </w:p>
    <w:p w:rsidR="00EE0851" w:rsidRPr="00060DB2" w:rsidRDefault="00EE0851" w:rsidP="00FD0C3A">
      <w:pPr>
        <w:pBdr>
          <w:bottom w:val="single" w:sz="4" w:space="1" w:color="auto"/>
        </w:pBdr>
        <w:ind w:firstLine="0"/>
      </w:pPr>
    </w:p>
    <w:p w:rsidR="000979C6" w:rsidRDefault="000979C6" w:rsidP="000979C6">
      <w:pPr>
        <w:pBdr>
          <w:bottom w:val="single" w:sz="4" w:space="1" w:color="auto"/>
        </w:pBdr>
        <w:jc w:val="center"/>
        <w:rPr>
          <w:rFonts w:ascii="TimesNewRoman,Bold" w:hAnsi="TimesNewRoman,Bold"/>
          <w:b/>
          <w:noProof w:val="0"/>
          <w:sz w:val="28"/>
          <w:szCs w:val="28"/>
        </w:rPr>
      </w:pPr>
    </w:p>
    <w:p w:rsidR="000979C6" w:rsidRDefault="000979C6" w:rsidP="000979C6">
      <w:pPr>
        <w:jc w:val="center"/>
        <w:rPr>
          <w:rFonts w:ascii="TimesNewRoman,Bold" w:hAnsi="TimesNewRoman,Bold"/>
          <w:b/>
          <w:noProof w:val="0"/>
          <w:sz w:val="28"/>
          <w:szCs w:val="28"/>
        </w:rPr>
      </w:pPr>
    </w:p>
    <w:p w:rsidR="000979C6" w:rsidRDefault="000979C6" w:rsidP="000979C6">
      <w:pPr>
        <w:jc w:val="center"/>
        <w:rPr>
          <w:b/>
          <w:smallCaps/>
          <w:sz w:val="28"/>
          <w:szCs w:val="28"/>
        </w:rPr>
      </w:pPr>
      <w:r w:rsidRPr="000979C6">
        <w:rPr>
          <w:rFonts w:ascii="TimesNewRoman,Bold" w:hAnsi="TimesNewRoman,Bold"/>
          <w:b/>
          <w:noProof w:val="0"/>
          <w:sz w:val="28"/>
          <w:szCs w:val="28"/>
        </w:rPr>
        <w:t>2.</w:t>
      </w:r>
      <w:r w:rsidRPr="00A74DAD">
        <w:rPr>
          <w:rFonts w:ascii="TimesNewRoman,Bold" w:hAnsi="TimesNewRoman,Bold"/>
          <w:b/>
          <w:noProof w:val="0"/>
        </w:rPr>
        <w:t xml:space="preserve"> </w:t>
      </w:r>
      <w:r w:rsidRPr="00A74DAD">
        <w:rPr>
          <w:b/>
          <w:smallCaps/>
          <w:sz w:val="28"/>
          <w:szCs w:val="28"/>
        </w:rPr>
        <w:t>Hinweise</w:t>
      </w:r>
      <w:r>
        <w:rPr>
          <w:b/>
          <w:smallCaps/>
          <w:sz w:val="28"/>
          <w:szCs w:val="28"/>
        </w:rPr>
        <w:t xml:space="preserve"> zur Lektur</w:t>
      </w:r>
    </w:p>
    <w:p w:rsidR="000979C6" w:rsidRDefault="000979C6" w:rsidP="000979C6"/>
    <w:p w:rsidR="000979C6" w:rsidRDefault="000979C6" w:rsidP="000979C6"/>
    <w:p w:rsidR="000979C6" w:rsidRDefault="000979C6" w:rsidP="000979C6">
      <w:pPr>
        <w:numPr>
          <w:ilvl w:val="0"/>
          <w:numId w:val="17"/>
        </w:numPr>
      </w:pPr>
      <w:r>
        <w:t xml:space="preserve">Eine programmgestützte </w:t>
      </w:r>
      <w:r w:rsidRPr="00C772E6">
        <w:rPr>
          <w:b/>
        </w:rPr>
        <w:t>Fehlerüberprüfung</w:t>
      </w:r>
      <w:r>
        <w:t xml:space="preserve"> (</w:t>
      </w:r>
      <w:r w:rsidRPr="00C772E6">
        <w:rPr>
          <w:i/>
        </w:rPr>
        <w:t>Rechtschreibprüfung</w:t>
      </w:r>
      <w:r>
        <w:t xml:space="preserve"> / </w:t>
      </w:r>
      <w:r w:rsidRPr="00C772E6">
        <w:rPr>
          <w:i/>
        </w:rPr>
        <w:t>spell check</w:t>
      </w:r>
      <w:r w:rsidR="001327BD">
        <w:t>) gehört zum ›</w:t>
      </w:r>
      <w:r>
        <w:t>guten Ton</w:t>
      </w:r>
      <w:r w:rsidR="001327BD">
        <w:t>‹</w:t>
      </w:r>
      <w:r>
        <w:t>.</w:t>
      </w:r>
    </w:p>
    <w:p w:rsidR="000979C6" w:rsidRDefault="000979C6" w:rsidP="000979C6"/>
    <w:p w:rsidR="000979C6" w:rsidRPr="00656F4A" w:rsidRDefault="00DD2299" w:rsidP="000979C6">
      <w:pPr>
        <w:numPr>
          <w:ilvl w:val="0"/>
          <w:numId w:val="10"/>
        </w:numPr>
      </w:pPr>
      <w:r>
        <w:t xml:space="preserve">Eine tief greifende Lektur (Fehler oder </w:t>
      </w:r>
      <w:r w:rsidR="000979C6">
        <w:t xml:space="preserve">Schwächen in </w:t>
      </w:r>
      <w:r w:rsidR="00A90301">
        <w:t xml:space="preserve">den Bereichen </w:t>
      </w:r>
      <w:r w:rsidR="00A90301" w:rsidRPr="00656F4A">
        <w:rPr>
          <w:b/>
        </w:rPr>
        <w:t>Grammatik</w:t>
      </w:r>
      <w:r w:rsidR="00A90301">
        <w:t xml:space="preserve">, </w:t>
      </w:r>
      <w:r w:rsidR="00A90301" w:rsidRPr="00A90301">
        <w:rPr>
          <w:b/>
        </w:rPr>
        <w:t>Stil</w:t>
      </w:r>
      <w:r w:rsidR="00A90301">
        <w:t xml:space="preserve">, </w:t>
      </w:r>
      <w:r w:rsidR="00A90301" w:rsidRPr="00656F4A">
        <w:rPr>
          <w:b/>
        </w:rPr>
        <w:t xml:space="preserve"> </w:t>
      </w:r>
      <w:r w:rsidR="000979C6" w:rsidRPr="00656F4A">
        <w:rPr>
          <w:b/>
        </w:rPr>
        <w:t>Argumentation</w:t>
      </w:r>
      <w:r w:rsidR="000979C6" w:rsidRPr="00656F4A">
        <w:t xml:space="preserve">, </w:t>
      </w:r>
      <w:r w:rsidR="000979C6" w:rsidRPr="00656F4A">
        <w:rPr>
          <w:b/>
        </w:rPr>
        <w:t>Transparenz</w:t>
      </w:r>
      <w:r w:rsidR="000979C6">
        <w:rPr>
          <w:b/>
        </w:rPr>
        <w:t>,</w:t>
      </w:r>
      <w:r w:rsidR="000979C6" w:rsidRPr="00656F4A">
        <w:rPr>
          <w:b/>
        </w:rPr>
        <w:t xml:space="preserve"> Kohärenz</w:t>
      </w:r>
      <w:r>
        <w:t xml:space="preserve">) kann </w:t>
      </w:r>
      <w:r w:rsidR="000979C6">
        <w:t xml:space="preserve">von der Redaktion nicht </w:t>
      </w:r>
      <w:r>
        <w:t xml:space="preserve">geleistet </w:t>
      </w:r>
      <w:r w:rsidR="00A90301">
        <w:t>werden – bitte im Vorf</w:t>
      </w:r>
      <w:r w:rsidR="000979C6">
        <w:t>e</w:t>
      </w:r>
      <w:r w:rsidR="00A90301">
        <w:t>l</w:t>
      </w:r>
      <w:r w:rsidR="000979C6">
        <w:t>d vermeiden</w:t>
      </w:r>
      <w:r w:rsidR="00247564">
        <w:t xml:space="preserve"> </w:t>
      </w:r>
      <w:r w:rsidR="000979C6">
        <w:t>/ beheben</w:t>
      </w:r>
      <w:r w:rsidR="00247564">
        <w:t xml:space="preserve"> </w:t>
      </w:r>
      <w:r w:rsidR="000979C6">
        <w:t>/ beheben lassen.</w:t>
      </w:r>
    </w:p>
    <w:p w:rsidR="000979C6" w:rsidRDefault="000979C6" w:rsidP="000979C6"/>
    <w:p w:rsidR="000979C6" w:rsidRPr="00060DB2" w:rsidRDefault="000979C6" w:rsidP="000979C6">
      <w:pPr>
        <w:pBdr>
          <w:bottom w:val="single" w:sz="4" w:space="1" w:color="auto"/>
        </w:pBdr>
        <w:ind w:firstLine="0"/>
      </w:pPr>
    </w:p>
    <w:p w:rsidR="00160404" w:rsidRDefault="00160404" w:rsidP="00FD0C3A">
      <w:pPr>
        <w:ind w:firstLine="0"/>
      </w:pPr>
    </w:p>
    <w:p w:rsidR="00FD0C3A" w:rsidRPr="00060DB2" w:rsidRDefault="00FD0C3A" w:rsidP="00FD0C3A">
      <w:pPr>
        <w:ind w:firstLine="0"/>
      </w:pPr>
    </w:p>
    <w:p w:rsidR="00A90C36" w:rsidRPr="00060DB2" w:rsidRDefault="000979C6" w:rsidP="00FD0C3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3</w:t>
      </w:r>
      <w:r w:rsidR="00A74DAD">
        <w:rPr>
          <w:b/>
          <w:smallCaps/>
          <w:sz w:val="28"/>
        </w:rPr>
        <w:t xml:space="preserve">. </w:t>
      </w:r>
      <w:r>
        <w:rPr>
          <w:b/>
          <w:smallCaps/>
          <w:sz w:val="28"/>
        </w:rPr>
        <w:t>Hinweise zur formalen Ge</w:t>
      </w:r>
      <w:r w:rsidR="00A90C36" w:rsidRPr="00060DB2">
        <w:rPr>
          <w:b/>
          <w:smallCaps/>
          <w:sz w:val="28"/>
        </w:rPr>
        <w:t>staltung</w:t>
      </w:r>
    </w:p>
    <w:p w:rsidR="00A90C36" w:rsidRPr="00060DB2" w:rsidRDefault="00A90C36" w:rsidP="00953181">
      <w:pPr>
        <w:rPr>
          <w:b/>
        </w:rPr>
      </w:pPr>
    </w:p>
    <w:p w:rsidR="00A90C36" w:rsidRDefault="00A90C36" w:rsidP="004A22DD">
      <w:pPr>
        <w:pStyle w:val="Naslov1"/>
      </w:pPr>
      <w:r w:rsidRPr="00060DB2">
        <w:t>Umfang</w:t>
      </w:r>
    </w:p>
    <w:p w:rsidR="00A90C36" w:rsidRPr="00060DB2" w:rsidRDefault="00D72326" w:rsidP="00953181">
      <w:pPr>
        <w:numPr>
          <w:ilvl w:val="0"/>
          <w:numId w:val="1"/>
        </w:numPr>
      </w:pPr>
      <w:r>
        <w:rPr>
          <w:b/>
        </w:rPr>
        <w:t>W</w:t>
      </w:r>
      <w:r w:rsidR="00A90C36" w:rsidRPr="00F416BA">
        <w:rPr>
          <w:b/>
        </w:rPr>
        <w:t>issenschaftliche Beiträge</w:t>
      </w:r>
      <w:r w:rsidR="00F416BA" w:rsidRPr="00F416BA">
        <w:rPr>
          <w:b/>
        </w:rPr>
        <w:t xml:space="preserve">, </w:t>
      </w:r>
      <w:r w:rsidR="003F3632">
        <w:rPr>
          <w:b/>
        </w:rPr>
        <w:t xml:space="preserve">fachdidaktische Berichte </w:t>
      </w:r>
      <w:r w:rsidR="00F416BA">
        <w:t>u.ä.:</w:t>
      </w:r>
      <w:r w:rsidR="00A90C36" w:rsidRPr="00060DB2">
        <w:t xml:space="preserve"> </w:t>
      </w:r>
      <w:r w:rsidR="00A90C36" w:rsidRPr="00E14E53">
        <w:rPr>
          <w:highlight w:val="green"/>
        </w:rPr>
        <w:t xml:space="preserve">bis zu </w:t>
      </w:r>
      <w:r w:rsidR="000F6990">
        <w:rPr>
          <w:highlight w:val="green"/>
        </w:rPr>
        <w:t>5</w:t>
      </w:r>
      <w:r w:rsidR="0012004C" w:rsidRPr="00E14E53">
        <w:rPr>
          <w:highlight w:val="green"/>
        </w:rPr>
        <w:t>0.000</w:t>
      </w:r>
      <w:r w:rsidR="00620D65" w:rsidRPr="00E14E53">
        <w:rPr>
          <w:highlight w:val="green"/>
        </w:rPr>
        <w:t xml:space="preserve"> </w:t>
      </w:r>
      <w:r w:rsidR="00A90C36" w:rsidRPr="00E14E53">
        <w:rPr>
          <w:highlight w:val="green"/>
        </w:rPr>
        <w:t>Zeichen</w:t>
      </w:r>
      <w:r w:rsidR="00A90C36" w:rsidRPr="00060DB2">
        <w:t xml:space="preserve"> (</w:t>
      </w:r>
      <w:r>
        <w:t xml:space="preserve">einschließlich </w:t>
      </w:r>
      <w:r w:rsidR="00A451A5" w:rsidRPr="00060DB2">
        <w:t>Leerzeichen</w:t>
      </w:r>
      <w:r w:rsidR="00EC35C0" w:rsidRPr="00060DB2">
        <w:t xml:space="preserve"> und Anmerkungen</w:t>
      </w:r>
      <w:r w:rsidR="00A90C36" w:rsidRPr="00060DB2">
        <w:t>)</w:t>
      </w:r>
      <w:r w:rsidR="00307D30">
        <w:t xml:space="preserve"> </w:t>
      </w:r>
      <w:r w:rsidR="0064767F">
        <w:t>– falls im CfA/CfP für den konkreten Themenschwerpunkt nicht anders angegeben!</w:t>
      </w:r>
    </w:p>
    <w:p w:rsidR="00A90C36" w:rsidRPr="00060DB2" w:rsidRDefault="00160404" w:rsidP="00953181">
      <w:pPr>
        <w:numPr>
          <w:ilvl w:val="0"/>
          <w:numId w:val="2"/>
        </w:numPr>
      </w:pPr>
      <w:r w:rsidRPr="00F416BA">
        <w:rPr>
          <w:b/>
        </w:rPr>
        <w:t>Buchbesprechungen</w:t>
      </w:r>
      <w:r w:rsidR="00F416BA" w:rsidRPr="00F416BA">
        <w:t xml:space="preserve">, </w:t>
      </w:r>
      <w:r w:rsidR="00F416BA" w:rsidRPr="00F416BA">
        <w:rPr>
          <w:b/>
        </w:rPr>
        <w:t>Konferenzberichte</w:t>
      </w:r>
      <w:r w:rsidR="00620D65" w:rsidRPr="00060DB2">
        <w:t xml:space="preserve">: </w:t>
      </w:r>
      <w:r w:rsidR="00620D65" w:rsidRPr="00E14E53">
        <w:rPr>
          <w:highlight w:val="green"/>
        </w:rPr>
        <w:t xml:space="preserve">bis zu </w:t>
      </w:r>
      <w:r w:rsidR="000F6990">
        <w:rPr>
          <w:highlight w:val="green"/>
        </w:rPr>
        <w:t>15</w:t>
      </w:r>
      <w:r w:rsidR="00A451A5" w:rsidRPr="00E14E53">
        <w:rPr>
          <w:highlight w:val="green"/>
        </w:rPr>
        <w:t>.000 Zeichen</w:t>
      </w:r>
      <w:r w:rsidR="00A451A5" w:rsidRPr="00060DB2">
        <w:t xml:space="preserve"> (</w:t>
      </w:r>
      <w:r w:rsidR="00F416BA">
        <w:t xml:space="preserve">einschließlich </w:t>
      </w:r>
      <w:r w:rsidR="00A451A5" w:rsidRPr="00060DB2">
        <w:t>Leerzeichen</w:t>
      </w:r>
      <w:r w:rsidR="002729BE" w:rsidRPr="00060DB2">
        <w:t xml:space="preserve"> und Anmerkungen</w:t>
      </w:r>
      <w:r w:rsidR="00A451A5" w:rsidRPr="00060DB2">
        <w:t>)</w:t>
      </w:r>
    </w:p>
    <w:p w:rsidR="00A90C36" w:rsidRPr="005833C9" w:rsidRDefault="00160404" w:rsidP="00953181">
      <w:pPr>
        <w:numPr>
          <w:ilvl w:val="0"/>
          <w:numId w:val="2"/>
        </w:numPr>
        <w:rPr>
          <w:b/>
        </w:rPr>
      </w:pPr>
      <w:r w:rsidRPr="00060DB2">
        <w:rPr>
          <w:b/>
        </w:rPr>
        <w:t>Zusammenfassung</w:t>
      </w:r>
      <w:r w:rsidR="00F416BA">
        <w:t xml:space="preserve"> (</w:t>
      </w:r>
      <w:r w:rsidR="00FB4347">
        <w:t xml:space="preserve">für alle Beiträge außer für Buchbesprechungen </w:t>
      </w:r>
      <w:r w:rsidR="00D72326">
        <w:t xml:space="preserve">und Konferenzberichte </w:t>
      </w:r>
      <w:r w:rsidRPr="00060DB2">
        <w:t xml:space="preserve">erbeten): </w:t>
      </w:r>
      <w:r w:rsidR="00307D30">
        <w:rPr>
          <w:highlight w:val="green"/>
        </w:rPr>
        <w:t>bis zu</w:t>
      </w:r>
      <w:r w:rsidR="004A22DD" w:rsidRPr="00E14E53">
        <w:rPr>
          <w:i/>
          <w:highlight w:val="green"/>
        </w:rPr>
        <w:t xml:space="preserve"> </w:t>
      </w:r>
      <w:r w:rsidR="003131AF">
        <w:rPr>
          <w:highlight w:val="green"/>
        </w:rPr>
        <w:t>7</w:t>
      </w:r>
      <w:r w:rsidR="00761015">
        <w:rPr>
          <w:highlight w:val="green"/>
        </w:rPr>
        <w:t>0</w:t>
      </w:r>
      <w:r w:rsidR="00A90C36" w:rsidRPr="00E14E53">
        <w:rPr>
          <w:highlight w:val="green"/>
        </w:rPr>
        <w:t>0 Zeichen</w:t>
      </w:r>
      <w:r w:rsidR="00A90C36" w:rsidRPr="00060DB2">
        <w:t xml:space="preserve"> </w:t>
      </w:r>
      <w:r w:rsidR="00F416BA" w:rsidRPr="00060DB2">
        <w:t>(</w:t>
      </w:r>
      <w:r w:rsidR="00F416BA">
        <w:t xml:space="preserve">einschließlich </w:t>
      </w:r>
      <w:r w:rsidR="00F416BA" w:rsidRPr="00060DB2">
        <w:t>Leerzeichen)</w:t>
      </w:r>
    </w:p>
    <w:p w:rsidR="005833C9" w:rsidRPr="005833C9" w:rsidRDefault="005833C9" w:rsidP="00953181">
      <w:pPr>
        <w:numPr>
          <w:ilvl w:val="0"/>
          <w:numId w:val="2"/>
        </w:numPr>
      </w:pPr>
      <w:r>
        <w:rPr>
          <w:b/>
        </w:rPr>
        <w:t xml:space="preserve">Titel und Untertitel </w:t>
      </w:r>
      <w:r w:rsidRPr="005833C9">
        <w:t xml:space="preserve">des Beitrags insgesamt </w:t>
      </w:r>
      <w:r>
        <w:t xml:space="preserve">bitte nicht länger als </w:t>
      </w:r>
      <w:r w:rsidRPr="005833C9">
        <w:rPr>
          <w:highlight w:val="green"/>
        </w:rPr>
        <w:t>150 Zeichen</w:t>
      </w:r>
      <w:r>
        <w:t xml:space="preserve"> </w:t>
      </w:r>
      <w:r w:rsidRPr="00060DB2">
        <w:t>(</w:t>
      </w:r>
      <w:r>
        <w:t xml:space="preserve">einschließlich </w:t>
      </w:r>
      <w:r w:rsidRPr="00060DB2">
        <w:t>Leerzeichen)</w:t>
      </w:r>
    </w:p>
    <w:p w:rsidR="00F416BA" w:rsidRDefault="00F416BA" w:rsidP="00F416BA">
      <w:pPr>
        <w:ind w:firstLine="0"/>
        <w:rPr>
          <w:b/>
        </w:rPr>
      </w:pPr>
    </w:p>
    <w:p w:rsidR="003C098C" w:rsidRDefault="003C098C" w:rsidP="00F416BA">
      <w:pPr>
        <w:ind w:firstLine="0"/>
        <w:rPr>
          <w:b/>
        </w:rPr>
      </w:pPr>
    </w:p>
    <w:p w:rsidR="002625CF" w:rsidRDefault="002625CF" w:rsidP="002625CF">
      <w:pPr>
        <w:autoSpaceDE w:val="0"/>
        <w:autoSpaceDN w:val="0"/>
        <w:adjustRightInd w:val="0"/>
        <w:ind w:firstLine="0"/>
        <w:rPr>
          <w:b/>
          <w:lang w:val="hr-HR"/>
        </w:rPr>
      </w:pPr>
      <w:r>
        <w:rPr>
          <w:b/>
          <w:lang w:val="hr-HR"/>
        </w:rPr>
        <w:t>Ä</w:t>
      </w:r>
      <w:r w:rsidRPr="00060DB2">
        <w:rPr>
          <w:b/>
          <w:lang w:val="hr-HR"/>
        </w:rPr>
        <w:t>ußere Gestaltung</w:t>
      </w:r>
    </w:p>
    <w:p w:rsidR="002625CF" w:rsidRPr="00060DB2" w:rsidRDefault="002625CF" w:rsidP="002625C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,Bold" w:hAnsi="TimesNewRoman,Bold"/>
          <w:noProof w:val="0"/>
          <w:lang w:val="hr-HR"/>
        </w:rPr>
      </w:pPr>
      <w:r w:rsidRPr="00060DB2">
        <w:rPr>
          <w:rFonts w:ascii="TimesNewRoman,Bold" w:hAnsi="TimesNewRoman,Bold"/>
          <w:noProof w:val="0"/>
          <w:lang w:val="hr-HR"/>
        </w:rPr>
        <w:t>Schriftgröße 12; Zeilenabstand 1,5</w:t>
      </w:r>
    </w:p>
    <w:p w:rsidR="002625CF" w:rsidRPr="00060DB2" w:rsidRDefault="002625CF" w:rsidP="002625C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" w:hAnsi="TimesNewRoman"/>
          <w:noProof w:val="0"/>
          <w:lang w:val="hr-HR"/>
        </w:rPr>
      </w:pPr>
      <w:r w:rsidRPr="00060DB2">
        <w:rPr>
          <w:rFonts w:ascii="TimesNewRoman" w:hAnsi="TimesNewRoman"/>
          <w:noProof w:val="0"/>
          <w:lang w:val="hr-HR"/>
        </w:rPr>
        <w:t xml:space="preserve">Absätze einrücken </w:t>
      </w:r>
    </w:p>
    <w:p w:rsidR="002625CF" w:rsidRPr="00060DB2" w:rsidRDefault="002625CF" w:rsidP="002625CF">
      <w:pPr>
        <w:numPr>
          <w:ilvl w:val="0"/>
          <w:numId w:val="4"/>
        </w:numPr>
      </w:pPr>
      <w:r w:rsidRPr="00060DB2">
        <w:t xml:space="preserve">längere Zitate (mehr als drei Zeilen) </w:t>
      </w:r>
      <w:r w:rsidR="007C3C31">
        <w:t>abgesetzt</w:t>
      </w:r>
      <w:r w:rsidR="00CE7C6D">
        <w:t xml:space="preserve">: </w:t>
      </w:r>
      <w:r w:rsidR="007C3C31">
        <w:t xml:space="preserve">Leerzeile davor und danach, </w:t>
      </w:r>
      <w:r w:rsidRPr="00060DB2">
        <w:t>Schriftgröße 10</w:t>
      </w:r>
      <w:r>
        <w:t xml:space="preserve">, </w:t>
      </w:r>
      <w:r w:rsidR="00E05D2F">
        <w:t xml:space="preserve">Zeilenabstand 1, </w:t>
      </w:r>
      <w:r w:rsidRPr="00060DB2">
        <w:t>ohne Anführungszeichen</w:t>
      </w:r>
    </w:p>
    <w:p w:rsidR="002625CF" w:rsidRPr="00060DB2" w:rsidRDefault="002625CF" w:rsidP="002625CF">
      <w:pPr>
        <w:numPr>
          <w:ilvl w:val="0"/>
          <w:numId w:val="4"/>
        </w:numPr>
        <w:autoSpaceDE w:val="0"/>
        <w:autoSpaceDN w:val="0"/>
        <w:adjustRightInd w:val="0"/>
        <w:rPr>
          <w:rFonts w:ascii="TimesNewRoman,Bold" w:hAnsi="TimesNewRoman,Bold"/>
          <w:noProof w:val="0"/>
        </w:rPr>
      </w:pPr>
      <w:r w:rsidRPr="00060DB2">
        <w:rPr>
          <w:rFonts w:ascii="TimesNewRoman,Bold" w:hAnsi="TimesNewRoman,Bold"/>
          <w:noProof w:val="0"/>
          <w:lang w:val="hr-HR"/>
        </w:rPr>
        <w:t>m</w:t>
      </w:r>
      <w:r w:rsidRPr="00060DB2">
        <w:rPr>
          <w:rFonts w:ascii="TimesNewRoman,Bold" w:hAnsi="TimesNewRoman,Bold"/>
          <w:noProof w:val="0"/>
        </w:rPr>
        <w:t xml:space="preserve">öglichst wenig Formatierung (z.B. </w:t>
      </w:r>
      <w:r>
        <w:rPr>
          <w:rFonts w:ascii="TimesNewRoman,Bold" w:hAnsi="TimesNewRoman,Bold"/>
          <w:noProof w:val="0"/>
        </w:rPr>
        <w:t>keine Randjustierung</w:t>
      </w:r>
      <w:r w:rsidR="00247564">
        <w:rPr>
          <w:rFonts w:ascii="TimesNewRoman,Bold" w:hAnsi="TimesNewRoman,Bold"/>
          <w:noProof w:val="0"/>
        </w:rPr>
        <w:t xml:space="preserve"> </w:t>
      </w:r>
      <w:r>
        <w:rPr>
          <w:rFonts w:ascii="TimesNewRoman,Bold" w:hAnsi="TimesNewRoman,Bold"/>
          <w:noProof w:val="0"/>
        </w:rPr>
        <w:t>/justify/, Blockschrift</w:t>
      </w:r>
      <w:r w:rsidR="00A732CA">
        <w:rPr>
          <w:rFonts w:ascii="TimesNewRoman,Bold" w:hAnsi="TimesNewRoman,Bold"/>
          <w:noProof w:val="0"/>
        </w:rPr>
        <w:t xml:space="preserve"> nur für Titel u. Untertitel des Beitrags</w:t>
      </w:r>
      <w:r w:rsidRPr="00060DB2">
        <w:rPr>
          <w:rFonts w:ascii="TimesNewRoman,Bold" w:hAnsi="TimesNewRoman,Bold"/>
          <w:noProof w:val="0"/>
        </w:rPr>
        <w:t>)</w:t>
      </w:r>
    </w:p>
    <w:p w:rsidR="003C098C" w:rsidRDefault="003C098C" w:rsidP="00F416BA">
      <w:pPr>
        <w:ind w:firstLine="0"/>
        <w:rPr>
          <w:b/>
        </w:rPr>
      </w:pPr>
    </w:p>
    <w:p w:rsidR="003C098C" w:rsidRPr="00060DB2" w:rsidRDefault="003C098C" w:rsidP="00F416BA">
      <w:pPr>
        <w:ind w:firstLine="0"/>
        <w:rPr>
          <w:b/>
        </w:rPr>
      </w:pPr>
    </w:p>
    <w:p w:rsidR="00A90C36" w:rsidRDefault="00A90C36" w:rsidP="00112880">
      <w:pPr>
        <w:pStyle w:val="Naslov1"/>
      </w:pPr>
      <w:r w:rsidRPr="00060DB2">
        <w:t>Quellennachweise</w:t>
      </w:r>
    </w:p>
    <w:p w:rsidR="0084277F" w:rsidRPr="00B03B81" w:rsidRDefault="001327BD" w:rsidP="0084277F">
      <w:pPr>
        <w:numPr>
          <w:ilvl w:val="0"/>
          <w:numId w:val="5"/>
        </w:numPr>
        <w:rPr>
          <w:color w:val="FF0000"/>
        </w:rPr>
      </w:pPr>
      <w:r w:rsidRPr="00B03B81">
        <w:rPr>
          <w:color w:val="FF0000"/>
        </w:rPr>
        <w:t>Ab dem ersten Nachweis</w:t>
      </w:r>
      <w:r w:rsidR="00010332" w:rsidRPr="00B03B81">
        <w:rPr>
          <w:color w:val="FF0000"/>
        </w:rPr>
        <w:t xml:space="preserve">, </w:t>
      </w:r>
      <w:r w:rsidR="00010332" w:rsidRPr="00F95055">
        <w:rPr>
          <w:color w:val="FF0000"/>
          <w:u w:val="single"/>
        </w:rPr>
        <w:t>in der Fußnote</w:t>
      </w:r>
      <w:r w:rsidR="00A90C36" w:rsidRPr="00B03B81">
        <w:rPr>
          <w:color w:val="FF0000"/>
        </w:rPr>
        <w:t>:</w:t>
      </w:r>
      <w:r w:rsidR="00B03B81" w:rsidRPr="00B03B81">
        <w:rPr>
          <w:color w:val="FF0000"/>
        </w:rPr>
        <w:t xml:space="preserve"> </w:t>
      </w:r>
      <w:r w:rsidR="003C098C" w:rsidRPr="00B03B81">
        <w:rPr>
          <w:color w:val="FF0000"/>
        </w:rPr>
        <w:t>N</w:t>
      </w:r>
      <w:r w:rsidR="00AE24D2" w:rsidRPr="00B03B81">
        <w:rPr>
          <w:color w:val="FF0000"/>
        </w:rPr>
        <w:t>achn</w:t>
      </w:r>
      <w:r w:rsidR="003C098C" w:rsidRPr="00B03B81">
        <w:rPr>
          <w:color w:val="FF0000"/>
        </w:rPr>
        <w:t xml:space="preserve">ame und </w:t>
      </w:r>
      <w:r w:rsidR="00B03B81">
        <w:rPr>
          <w:color w:val="FF0000"/>
        </w:rPr>
        <w:t>Titel</w:t>
      </w:r>
      <w:r w:rsidR="00B03B81">
        <w:rPr>
          <w:color w:val="FF0000"/>
        </w:rPr>
        <w:br/>
      </w:r>
      <w:r w:rsidRPr="00B03B81">
        <w:rPr>
          <w:color w:val="FF0000"/>
        </w:rPr>
        <w:t>(bei längeren Titel</w:t>
      </w:r>
      <w:r w:rsidR="0098795D" w:rsidRPr="00B03B81">
        <w:rPr>
          <w:color w:val="FF0000"/>
        </w:rPr>
        <w:t>n</w:t>
      </w:r>
      <w:r w:rsidRPr="00B03B81">
        <w:rPr>
          <w:color w:val="FF0000"/>
        </w:rPr>
        <w:t xml:space="preserve"> </w:t>
      </w:r>
      <w:r w:rsidR="0098795D" w:rsidRPr="00B03B81">
        <w:rPr>
          <w:color w:val="FF0000"/>
        </w:rPr>
        <w:t>ggf.</w:t>
      </w:r>
      <w:r w:rsidRPr="00B03B81">
        <w:rPr>
          <w:color w:val="FF0000"/>
        </w:rPr>
        <w:t xml:space="preserve"> kürzen</w:t>
      </w:r>
      <w:r w:rsidR="00761015">
        <w:rPr>
          <w:color w:val="FF0000"/>
        </w:rPr>
        <w:t>; dabei Verständlichkeit/Erkennbarkeit des Titels gewährleisten</w:t>
      </w:r>
      <w:r w:rsidRPr="00B03B81">
        <w:rPr>
          <w:color w:val="FF0000"/>
        </w:rPr>
        <w:t>)</w:t>
      </w:r>
      <w:r w:rsidR="0098795D" w:rsidRPr="00B03B81">
        <w:rPr>
          <w:color w:val="FF0000"/>
        </w:rPr>
        <w:t>:</w:t>
      </w:r>
      <w:r w:rsidR="00B03B81">
        <w:rPr>
          <w:color w:val="FF0000"/>
        </w:rPr>
        <w:br/>
      </w:r>
      <w:r w:rsidR="003C098C" w:rsidRPr="00B03B81">
        <w:rPr>
          <w:color w:val="FF0000"/>
        </w:rPr>
        <w:br/>
      </w:r>
      <w:r w:rsidR="004A0CC9" w:rsidRPr="00B03B81">
        <w:rPr>
          <w:color w:val="FF0000"/>
        </w:rPr>
        <w:tab/>
        <w:t xml:space="preserve">Grimmelshausen: </w:t>
      </w:r>
      <w:r w:rsidR="004A0CC9" w:rsidRPr="00B03B81">
        <w:rPr>
          <w:i/>
          <w:color w:val="FF0000"/>
        </w:rPr>
        <w:t>Simplicissimus</w:t>
      </w:r>
      <w:r w:rsidR="004A0CC9" w:rsidRPr="00B03B81">
        <w:rPr>
          <w:color w:val="FF0000"/>
        </w:rPr>
        <w:t xml:space="preserve">, S. 30; Fleming: </w:t>
      </w:r>
      <w:r w:rsidR="004A0CC9" w:rsidRPr="00B03B81">
        <w:rPr>
          <w:i/>
          <w:color w:val="FF0000"/>
        </w:rPr>
        <w:t>Klagegedichte</w:t>
      </w:r>
      <w:r w:rsidR="00911D18">
        <w:rPr>
          <w:color w:val="FF0000"/>
        </w:rPr>
        <w:t>, S. 15.</w:t>
      </w:r>
    </w:p>
    <w:p w:rsidR="0084277F" w:rsidRPr="0084277F" w:rsidRDefault="0084277F" w:rsidP="0084277F">
      <w:pPr>
        <w:ind w:firstLine="0"/>
      </w:pPr>
      <w:r>
        <w:tab/>
      </w:r>
      <w:r>
        <w:tab/>
      </w:r>
    </w:p>
    <w:p w:rsidR="004A0CC9" w:rsidRPr="004A0CC9" w:rsidRDefault="001327BD" w:rsidP="00193DA9">
      <w:pPr>
        <w:numPr>
          <w:ilvl w:val="0"/>
          <w:numId w:val="5"/>
        </w:numPr>
        <w:rPr>
          <w:b/>
        </w:rPr>
      </w:pPr>
      <w:r>
        <w:t>Unmittelbare Rückverweise mit »ebd.« (ebenda)</w:t>
      </w:r>
    </w:p>
    <w:p w:rsidR="004A0CC9" w:rsidRDefault="004A0CC9" w:rsidP="004A0CC9">
      <w:pPr>
        <w:ind w:firstLine="0"/>
        <w:rPr>
          <w:b/>
        </w:rPr>
      </w:pPr>
    </w:p>
    <w:p w:rsidR="004E7E83" w:rsidRPr="004A0CC9" w:rsidRDefault="004E7E83" w:rsidP="004A0CC9">
      <w:pPr>
        <w:ind w:firstLine="0"/>
        <w:rPr>
          <w:b/>
        </w:rPr>
      </w:pPr>
      <w:r>
        <w:tab/>
      </w:r>
      <w:r>
        <w:tab/>
      </w:r>
    </w:p>
    <w:p w:rsidR="00A90C36" w:rsidRDefault="00A90C36" w:rsidP="00112880">
      <w:pPr>
        <w:pStyle w:val="Naslov1"/>
      </w:pPr>
      <w:r w:rsidRPr="00060DB2">
        <w:t>Titelangaben</w:t>
      </w:r>
      <w:r w:rsidR="00F2652C">
        <w:t xml:space="preserve"> im Literaturverzeichnis</w:t>
      </w:r>
    </w:p>
    <w:p w:rsidR="002625CF" w:rsidRPr="002625CF" w:rsidRDefault="003C098C" w:rsidP="00B52247">
      <w:pPr>
        <w:spacing w:line="240" w:lineRule="auto"/>
        <w:ind w:left="357" w:firstLine="0"/>
      </w:pPr>
      <w:r>
        <w:br/>
      </w:r>
    </w:p>
    <w:p w:rsidR="00A90C36" w:rsidRPr="00060DB2" w:rsidRDefault="00A90C36" w:rsidP="004A22DD">
      <w:pPr>
        <w:numPr>
          <w:ilvl w:val="0"/>
          <w:numId w:val="3"/>
        </w:numPr>
      </w:pPr>
      <w:r w:rsidRPr="00060DB2">
        <w:rPr>
          <w:b/>
        </w:rPr>
        <w:t>Monographie</w:t>
      </w:r>
      <w:r w:rsidR="00631B1E" w:rsidRPr="00060DB2">
        <w:rPr>
          <w:b/>
        </w:rPr>
        <w:t>, Sammelband</w:t>
      </w:r>
      <w:r w:rsidR="00523869" w:rsidRPr="00060DB2">
        <w:rPr>
          <w:b/>
        </w:rPr>
        <w:t>, Handbuch</w:t>
      </w:r>
    </w:p>
    <w:p w:rsidR="00D67062" w:rsidRDefault="00D67062" w:rsidP="00843687">
      <w:pPr>
        <w:spacing w:line="240" w:lineRule="auto"/>
        <w:ind w:left="360" w:firstLine="0"/>
      </w:pPr>
    </w:p>
    <w:p w:rsidR="0071170D" w:rsidRPr="00B03B81" w:rsidRDefault="0071170D" w:rsidP="00843687">
      <w:pPr>
        <w:spacing w:line="240" w:lineRule="auto"/>
        <w:ind w:left="360" w:firstLine="0"/>
        <w:rPr>
          <w:color w:val="FF0000"/>
          <w:lang w:val="en-GB"/>
        </w:rPr>
      </w:pPr>
      <w:r w:rsidRPr="005701E9">
        <w:rPr>
          <w:color w:val="FF0000"/>
        </w:rPr>
        <w:t xml:space="preserve">Grimmelshausen, </w:t>
      </w:r>
      <w:hyperlink r:id="rId7" w:tooltip="Hans Jakob Christoffel von Grimmelshausen" w:history="1">
        <w:r w:rsidRPr="005701E9">
          <w:rPr>
            <w:color w:val="FF0000"/>
          </w:rPr>
          <w:t>Hans Jakob Christoffel von</w:t>
        </w:r>
      </w:hyperlink>
      <w:r w:rsidRPr="005701E9">
        <w:rPr>
          <w:color w:val="FF0000"/>
        </w:rPr>
        <w:t xml:space="preserve">: </w:t>
      </w:r>
      <w:r w:rsidRPr="00B03B81">
        <w:rPr>
          <w:rStyle w:val="reference-text"/>
          <w:i/>
          <w:color w:val="FF0000"/>
        </w:rPr>
        <w:t>Simplicissimus teutsch</w:t>
      </w:r>
      <w:r w:rsidRPr="00B03B81">
        <w:rPr>
          <w:rStyle w:val="reference-text"/>
          <w:color w:val="FF0000"/>
        </w:rPr>
        <w:t xml:space="preserve">. In: Werke in drei Bänden. Bd. I/1. Hg. Dieter Breuer. </w:t>
      </w:r>
      <w:r w:rsidRPr="005701E9">
        <w:rPr>
          <w:rStyle w:val="reference-text"/>
          <w:color w:val="FF0000"/>
          <w:lang w:val="en-GB"/>
        </w:rPr>
        <w:t>Frankfurt/M.: Deutscher Klassiker Verlag 1989 .</w:t>
      </w:r>
    </w:p>
    <w:p w:rsidR="0071170D" w:rsidRPr="005701E9" w:rsidRDefault="0071170D" w:rsidP="00843687">
      <w:pPr>
        <w:spacing w:line="240" w:lineRule="auto"/>
        <w:ind w:left="360" w:firstLine="0"/>
        <w:rPr>
          <w:lang w:val="en-GB"/>
        </w:rPr>
      </w:pPr>
    </w:p>
    <w:p w:rsidR="00C736F6" w:rsidRPr="005701E9" w:rsidRDefault="00C736F6" w:rsidP="00C736F6">
      <w:pPr>
        <w:spacing w:line="240" w:lineRule="auto"/>
        <w:ind w:left="360" w:firstLine="0"/>
        <w:rPr>
          <w:lang w:val="en-GB"/>
        </w:rPr>
      </w:pPr>
      <w:r w:rsidRPr="00411610">
        <w:rPr>
          <w:lang w:val="en-GB"/>
        </w:rPr>
        <w:t>Ambler</w:t>
      </w:r>
      <w:r>
        <w:rPr>
          <w:lang w:val="en-GB"/>
        </w:rPr>
        <w:t>,</w:t>
      </w:r>
      <w:r w:rsidRPr="00411610">
        <w:rPr>
          <w:lang w:val="en-GB"/>
        </w:rPr>
        <w:t xml:space="preserve"> Charles Henry: </w:t>
      </w:r>
      <w:r>
        <w:rPr>
          <w:i/>
          <w:lang w:val="en-GB"/>
        </w:rPr>
        <w:t xml:space="preserve">A History of Transportation </w:t>
      </w:r>
      <w:r w:rsidRPr="00411610">
        <w:rPr>
          <w:i/>
          <w:lang w:val="en-GB"/>
        </w:rPr>
        <w:t xml:space="preserve">in the </w:t>
      </w:r>
      <w:smartTag w:uri="urn:schemas-microsoft-com:office:smarttags" w:element="place">
        <w:smartTag w:uri="urn:schemas-microsoft-com:office:smarttags" w:element="PlaceName">
          <w:r w:rsidRPr="00411610">
            <w:rPr>
              <w:i/>
              <w:lang w:val="en-GB"/>
            </w:rPr>
            <w:t>Ohio</w:t>
          </w:r>
        </w:smartTag>
        <w:r w:rsidRPr="00411610">
          <w:rPr>
            <w:i/>
            <w:lang w:val="en-GB"/>
          </w:rPr>
          <w:t xml:space="preserve"> </w:t>
        </w:r>
        <w:smartTag w:uri="urn:schemas-microsoft-com:office:smarttags" w:element="PlaceType">
          <w:r w:rsidRPr="00411610">
            <w:rPr>
              <w:i/>
              <w:lang w:val="en-GB"/>
            </w:rPr>
            <w:t>Valley</w:t>
          </w:r>
        </w:smartTag>
      </w:smartTag>
      <w:r>
        <w:rPr>
          <w:lang w:val="en-GB"/>
        </w:rPr>
        <w:t xml:space="preserve">. </w:t>
      </w:r>
      <w:r w:rsidRPr="005701E9">
        <w:rPr>
          <w:lang w:val="en-GB"/>
        </w:rPr>
        <w:t>Westpoint (</w:t>
      </w:r>
      <w:smartTag w:uri="urn:schemas-microsoft-com:office:smarttags" w:element="State">
        <w:r w:rsidRPr="005701E9">
          <w:rPr>
            <w:lang w:val="en-GB"/>
          </w:rPr>
          <w:t>Connecticut</w:t>
        </w:r>
      </w:smartTag>
      <w:r w:rsidRPr="005701E9">
        <w:rPr>
          <w:lang w:val="en-GB"/>
        </w:rPr>
        <w:t xml:space="preserve">): </w:t>
      </w:r>
      <w:smartTag w:uri="urn:schemas-microsoft-com:office:smarttags" w:element="place">
        <w:smartTag w:uri="urn:schemas-microsoft-com:office:smarttags" w:element="City">
          <w:r w:rsidRPr="005701E9">
            <w:rPr>
              <w:lang w:val="en-GB"/>
            </w:rPr>
            <w:t>Greenwood</w:t>
          </w:r>
        </w:smartTag>
      </w:smartTag>
      <w:r w:rsidRPr="005701E9">
        <w:rPr>
          <w:lang w:val="en-GB"/>
        </w:rPr>
        <w:t xml:space="preserve"> Press 1970.</w:t>
      </w:r>
    </w:p>
    <w:p w:rsidR="00C736F6" w:rsidRPr="005701E9" w:rsidRDefault="00C736F6" w:rsidP="00843687">
      <w:pPr>
        <w:spacing w:line="240" w:lineRule="auto"/>
        <w:ind w:left="360" w:firstLine="0"/>
        <w:rPr>
          <w:lang w:val="en-GB"/>
        </w:rPr>
      </w:pPr>
    </w:p>
    <w:p w:rsidR="00A90C36" w:rsidRPr="00060DB2" w:rsidRDefault="00A90C36" w:rsidP="00843687">
      <w:pPr>
        <w:spacing w:line="240" w:lineRule="auto"/>
        <w:ind w:left="360" w:firstLine="0"/>
      </w:pPr>
      <w:r w:rsidRPr="00060DB2">
        <w:t>Auerbach</w:t>
      </w:r>
      <w:r w:rsidR="00E14E53">
        <w:t>, Erich</w:t>
      </w:r>
      <w:r w:rsidRPr="00060DB2">
        <w:t xml:space="preserve">: </w:t>
      </w:r>
      <w:r w:rsidRPr="00060DB2">
        <w:rPr>
          <w:i/>
        </w:rPr>
        <w:t>Mimesis. Dargestellte Wirklichkeit in der abendländischen Literatur</w:t>
      </w:r>
      <w:r w:rsidRPr="00060DB2">
        <w:t xml:space="preserve">. </w:t>
      </w:r>
      <w:r w:rsidR="00591A0A" w:rsidRPr="00060DB2">
        <w:t>8. Aufl. Bern, Stuttgart: Francke 1988.</w:t>
      </w:r>
      <w:r w:rsidRPr="00060DB2">
        <w:t xml:space="preserve"> </w:t>
      </w:r>
    </w:p>
    <w:p w:rsidR="00591A0A" w:rsidRPr="00060DB2" w:rsidRDefault="00591A0A" w:rsidP="004A22DD">
      <w:pPr>
        <w:ind w:firstLine="0"/>
      </w:pPr>
    </w:p>
    <w:p w:rsidR="00523869" w:rsidRPr="00060DB2" w:rsidRDefault="00E14E53" w:rsidP="00843687">
      <w:pPr>
        <w:spacing w:line="240" w:lineRule="auto"/>
        <w:ind w:left="360" w:firstLine="0"/>
        <w:rPr>
          <w:szCs w:val="28"/>
        </w:rPr>
      </w:pPr>
      <w:r w:rsidRPr="00060DB2">
        <w:rPr>
          <w:szCs w:val="28"/>
        </w:rPr>
        <w:t>Moebius</w:t>
      </w:r>
      <w:r>
        <w:rPr>
          <w:szCs w:val="28"/>
        </w:rPr>
        <w:t>,</w:t>
      </w:r>
      <w:r w:rsidRPr="00060DB2">
        <w:rPr>
          <w:szCs w:val="28"/>
        </w:rPr>
        <w:t xml:space="preserve"> </w:t>
      </w:r>
      <w:r w:rsidR="00523869" w:rsidRPr="00060DB2">
        <w:rPr>
          <w:szCs w:val="28"/>
        </w:rPr>
        <w:t>Stephan</w:t>
      </w:r>
      <w:r>
        <w:rPr>
          <w:szCs w:val="28"/>
        </w:rPr>
        <w:t>;</w:t>
      </w:r>
      <w:r w:rsidR="00523869" w:rsidRPr="00060DB2">
        <w:rPr>
          <w:szCs w:val="28"/>
        </w:rPr>
        <w:t xml:space="preserve"> </w:t>
      </w:r>
      <w:r w:rsidRPr="00060DB2">
        <w:rPr>
          <w:szCs w:val="28"/>
        </w:rPr>
        <w:t>Quadflieg</w:t>
      </w:r>
      <w:r>
        <w:rPr>
          <w:szCs w:val="28"/>
        </w:rPr>
        <w:t>,</w:t>
      </w:r>
      <w:r w:rsidRPr="00060DB2">
        <w:rPr>
          <w:szCs w:val="28"/>
        </w:rPr>
        <w:t xml:space="preserve"> </w:t>
      </w:r>
      <w:r w:rsidR="00523869" w:rsidRPr="00060DB2">
        <w:rPr>
          <w:szCs w:val="28"/>
        </w:rPr>
        <w:t xml:space="preserve">Dirk (Hgg.): </w:t>
      </w:r>
      <w:r w:rsidR="00523869" w:rsidRPr="00060DB2">
        <w:rPr>
          <w:i/>
          <w:szCs w:val="28"/>
        </w:rPr>
        <w:t>Kultur. Theorien der Gegenwart</w:t>
      </w:r>
      <w:r w:rsidR="00523869" w:rsidRPr="00060DB2">
        <w:rPr>
          <w:szCs w:val="28"/>
        </w:rPr>
        <w:t>. 2., erw</w:t>
      </w:r>
      <w:r w:rsidR="00102C27">
        <w:rPr>
          <w:szCs w:val="28"/>
        </w:rPr>
        <w:t xml:space="preserve">. u. aktualis. Ausg. Wiesbaden: </w:t>
      </w:r>
      <w:r w:rsidR="00523869" w:rsidRPr="00060DB2">
        <w:rPr>
          <w:szCs w:val="28"/>
        </w:rPr>
        <w:t>VS Verlag für Sozialwissenschaften 2011.</w:t>
      </w:r>
    </w:p>
    <w:p w:rsidR="00523869" w:rsidRPr="00060DB2" w:rsidRDefault="00523869" w:rsidP="00591A0A">
      <w:pPr>
        <w:ind w:firstLine="0"/>
        <w:rPr>
          <w:szCs w:val="28"/>
        </w:rPr>
      </w:pPr>
    </w:p>
    <w:p w:rsidR="00591A0A" w:rsidRDefault="00E14E53" w:rsidP="00843687">
      <w:pPr>
        <w:spacing w:line="240" w:lineRule="auto"/>
        <w:ind w:left="360" w:firstLine="0"/>
      </w:pPr>
      <w:r>
        <w:t xml:space="preserve">Nünning, </w:t>
      </w:r>
      <w:r w:rsidR="00E22F8D">
        <w:t xml:space="preserve">Ansgar </w:t>
      </w:r>
      <w:r w:rsidR="00A732CA">
        <w:t xml:space="preserve">(Hg.): </w:t>
      </w:r>
      <w:r w:rsidR="00591A0A" w:rsidRPr="00060DB2">
        <w:rPr>
          <w:i/>
        </w:rPr>
        <w:t>Metzler Lexikon Literatur- und Kulturtheorie</w:t>
      </w:r>
      <w:r w:rsidR="00A732CA">
        <w:t>.</w:t>
      </w:r>
      <w:r w:rsidR="00591A0A" w:rsidRPr="00060DB2">
        <w:t xml:space="preserve"> Stuttgart</w:t>
      </w:r>
      <w:r w:rsidR="003223B0">
        <w:t xml:space="preserve">, </w:t>
      </w:r>
      <w:r w:rsidR="00591A0A" w:rsidRPr="00060DB2">
        <w:t>Weimar: Metzler 1998.</w:t>
      </w:r>
    </w:p>
    <w:p w:rsidR="000C04E4" w:rsidRDefault="000C04E4" w:rsidP="00843687">
      <w:pPr>
        <w:spacing w:line="240" w:lineRule="auto"/>
        <w:ind w:left="360" w:firstLine="0"/>
      </w:pPr>
    </w:p>
    <w:p w:rsidR="002625CF" w:rsidRPr="00060DB2" w:rsidRDefault="002625CF" w:rsidP="00193DA9">
      <w:pPr>
        <w:ind w:left="360" w:firstLine="0"/>
      </w:pPr>
    </w:p>
    <w:p w:rsidR="00A90C36" w:rsidRPr="00060DB2" w:rsidRDefault="00911D18" w:rsidP="004A22DD">
      <w:pPr>
        <w:numPr>
          <w:ilvl w:val="0"/>
          <w:numId w:val="3"/>
        </w:numPr>
        <w:rPr>
          <w:b/>
        </w:rPr>
      </w:pPr>
      <w:r>
        <w:rPr>
          <w:b/>
        </w:rPr>
        <w:t>Teil einer Buchpublikation</w:t>
      </w:r>
    </w:p>
    <w:p w:rsidR="00843687" w:rsidRDefault="00843687" w:rsidP="00843687">
      <w:pPr>
        <w:spacing w:line="240" w:lineRule="auto"/>
        <w:ind w:left="360" w:firstLine="0"/>
      </w:pPr>
    </w:p>
    <w:p w:rsidR="00911D18" w:rsidRPr="00911D18" w:rsidRDefault="00911D18" w:rsidP="00911D18">
      <w:pPr>
        <w:spacing w:line="240" w:lineRule="auto"/>
        <w:ind w:left="360" w:firstLine="0"/>
        <w:rPr>
          <w:color w:val="FF0000"/>
        </w:rPr>
      </w:pPr>
      <w:r w:rsidRPr="00911D18">
        <w:rPr>
          <w:rStyle w:val="reference-text"/>
          <w:color w:val="FF0000"/>
        </w:rPr>
        <w:t xml:space="preserve">Fleming, Paul: </w:t>
      </w:r>
      <w:r w:rsidRPr="00911D18">
        <w:rPr>
          <w:rStyle w:val="reference-text"/>
          <w:i/>
          <w:color w:val="FF0000"/>
        </w:rPr>
        <w:t>Klagegedichte über das unschuldigste Leiden und Tod unsers Erlösers Jesu Christi</w:t>
      </w:r>
      <w:r w:rsidRPr="00911D18">
        <w:rPr>
          <w:rStyle w:val="reference-text"/>
          <w:color w:val="FF0000"/>
        </w:rPr>
        <w:t xml:space="preserve">. In: ders.: </w:t>
      </w:r>
      <w:r w:rsidRPr="00911D18">
        <w:rPr>
          <w:i/>
          <w:color w:val="FF0000"/>
        </w:rPr>
        <w:t>Deutsche Gedichte</w:t>
      </w:r>
      <w:r w:rsidRPr="00911D18">
        <w:rPr>
          <w:color w:val="FF0000"/>
        </w:rPr>
        <w:t>. Hg. J. M. Lappenberg. Bd 1. Stuttgart 1865, S. 15–27.</w:t>
      </w:r>
    </w:p>
    <w:p w:rsidR="00911D18" w:rsidRDefault="00911D18" w:rsidP="00843687">
      <w:pPr>
        <w:spacing w:line="240" w:lineRule="auto"/>
        <w:ind w:left="360" w:firstLine="0"/>
      </w:pPr>
    </w:p>
    <w:p w:rsidR="0080723B" w:rsidRPr="00060DB2" w:rsidRDefault="00C736F6" w:rsidP="00843687">
      <w:pPr>
        <w:spacing w:line="240" w:lineRule="auto"/>
        <w:ind w:left="360" w:firstLine="0"/>
      </w:pPr>
      <w:r w:rsidRPr="00060DB2">
        <w:t>Erll</w:t>
      </w:r>
      <w:r>
        <w:t xml:space="preserve">, </w:t>
      </w:r>
      <w:r w:rsidR="0080723B" w:rsidRPr="00060DB2">
        <w:t xml:space="preserve">Astrid: </w:t>
      </w:r>
      <w:r w:rsidR="0080723B" w:rsidRPr="00060DB2">
        <w:rPr>
          <w:i/>
        </w:rPr>
        <w:t>Kollektives Gedächtnis und Erinnerungskulturen</w:t>
      </w:r>
      <w:r w:rsidR="0080723B" w:rsidRPr="00060DB2">
        <w:t>. In:</w:t>
      </w:r>
      <w:r w:rsidR="00102C27">
        <w:t xml:space="preserve"> </w:t>
      </w:r>
      <w:r w:rsidR="0080723B" w:rsidRPr="00060DB2">
        <w:rPr>
          <w:i/>
        </w:rPr>
        <w:t>Konzepte der Kulturwissenschaften. Theoretische Grundlagen – Ansätze – Perspektiven</w:t>
      </w:r>
      <w:r w:rsidR="0080723B" w:rsidRPr="00060DB2">
        <w:t xml:space="preserve">. </w:t>
      </w:r>
      <w:r w:rsidR="00102C27">
        <w:t>Hg</w:t>
      </w:r>
      <w:r w:rsidR="003223B0">
        <w:t>g</w:t>
      </w:r>
      <w:r w:rsidR="00102C27">
        <w:t xml:space="preserve">. </w:t>
      </w:r>
      <w:r w:rsidR="00102C27" w:rsidRPr="00060DB2">
        <w:t>Ansgar Nünning</w:t>
      </w:r>
      <w:r w:rsidR="003223B0">
        <w:t xml:space="preserve">, </w:t>
      </w:r>
      <w:r w:rsidR="00102C27" w:rsidRPr="00060DB2">
        <w:t>Vera Nünning</w:t>
      </w:r>
      <w:r w:rsidR="00102C27">
        <w:t xml:space="preserve">. </w:t>
      </w:r>
      <w:r w:rsidR="0080723B" w:rsidRPr="00060DB2">
        <w:t>Stuttgart</w:t>
      </w:r>
      <w:r w:rsidR="003223B0">
        <w:t>,</w:t>
      </w:r>
      <w:r w:rsidR="0080723B" w:rsidRPr="00060DB2">
        <w:t xml:space="preserve"> Weimar: Metzler 2003</w:t>
      </w:r>
      <w:r w:rsidR="003223B0">
        <w:t>,</w:t>
      </w:r>
      <w:r w:rsidR="0080723B" w:rsidRPr="00060DB2">
        <w:t xml:space="preserve"> S. 156–185.</w:t>
      </w:r>
    </w:p>
    <w:p w:rsidR="00591A0A" w:rsidRPr="00060DB2" w:rsidRDefault="00591A0A" w:rsidP="004A22DD">
      <w:pPr>
        <w:ind w:firstLine="0"/>
      </w:pPr>
    </w:p>
    <w:p w:rsidR="00B148ED" w:rsidRPr="00060DB2" w:rsidRDefault="00C736F6" w:rsidP="00843687">
      <w:pPr>
        <w:spacing w:line="240" w:lineRule="auto"/>
        <w:ind w:left="360" w:firstLine="0"/>
      </w:pPr>
      <w:r w:rsidRPr="00060DB2">
        <w:t>Unger</w:t>
      </w:r>
      <w:r>
        <w:t>,</w:t>
      </w:r>
      <w:r w:rsidRPr="00060DB2">
        <w:t xml:space="preserve"> </w:t>
      </w:r>
      <w:r w:rsidR="00B148ED" w:rsidRPr="00060DB2">
        <w:t xml:space="preserve">Rudolf: </w:t>
      </w:r>
      <w:r w:rsidR="00B148ED" w:rsidRPr="00060DB2">
        <w:rPr>
          <w:i/>
        </w:rPr>
        <w:t xml:space="preserve">Philosophische Probleme in der neueren Literaturwissenschaft </w:t>
      </w:r>
      <w:r w:rsidR="000847DE">
        <w:t xml:space="preserve">[1908]. In: </w:t>
      </w:r>
      <w:r w:rsidR="00B148ED" w:rsidRPr="00060DB2">
        <w:rPr>
          <w:i/>
        </w:rPr>
        <w:t>Aufsätze zur Prinzipienlehre der Literaturgeschichte. Gesammelte Studien</w:t>
      </w:r>
      <w:r w:rsidR="00B148ED" w:rsidRPr="00060DB2">
        <w:t xml:space="preserve">. </w:t>
      </w:r>
      <w:r w:rsidR="000847DE">
        <w:t xml:space="preserve">Hg. ders. </w:t>
      </w:r>
      <w:r w:rsidR="00B148ED" w:rsidRPr="00060DB2">
        <w:t>Be</w:t>
      </w:r>
      <w:r w:rsidR="00B148ED" w:rsidRPr="00060DB2">
        <w:t>r</w:t>
      </w:r>
      <w:r w:rsidR="00B148ED" w:rsidRPr="00060DB2">
        <w:t>lin 1929, S. 1–32, hier S. 13–15 u. 17f.</w:t>
      </w:r>
    </w:p>
    <w:p w:rsidR="00A90C36" w:rsidRPr="00060DB2" w:rsidRDefault="00A90C36" w:rsidP="004A22DD">
      <w:pPr>
        <w:ind w:firstLine="0"/>
      </w:pPr>
    </w:p>
    <w:p w:rsidR="00B148ED" w:rsidRPr="00060DB2" w:rsidRDefault="00C736F6" w:rsidP="00843687">
      <w:pPr>
        <w:spacing w:line="240" w:lineRule="auto"/>
        <w:ind w:left="360" w:firstLine="0"/>
      </w:pPr>
      <w:r w:rsidRPr="00060DB2">
        <w:t>Dressel</w:t>
      </w:r>
      <w:r>
        <w:t xml:space="preserve">, </w:t>
      </w:r>
      <w:r w:rsidR="00B148ED" w:rsidRPr="00060DB2">
        <w:t xml:space="preserve">Gert: </w:t>
      </w:r>
      <w:r w:rsidR="00B148ED" w:rsidRPr="00060DB2">
        <w:rPr>
          <w:i/>
        </w:rPr>
        <w:t>Wissenschaft und Biographie</w:t>
      </w:r>
      <w:r w:rsidR="00B148ED" w:rsidRPr="00060DB2">
        <w:t xml:space="preserve">. In: </w:t>
      </w:r>
      <w:r w:rsidR="00B148ED" w:rsidRPr="00060DB2">
        <w:rPr>
          <w:i/>
        </w:rPr>
        <w:t>Sprachkontakte und Reflexion</w:t>
      </w:r>
      <w:r w:rsidR="00751E96">
        <w:t xml:space="preserve">. </w:t>
      </w:r>
      <w:r w:rsidR="000847DE">
        <w:t xml:space="preserve">Hg. </w:t>
      </w:r>
      <w:r w:rsidR="000847DE" w:rsidRPr="00060DB2">
        <w:t>Velimir Pi</w:t>
      </w:r>
      <w:r w:rsidR="000847DE" w:rsidRPr="00060DB2">
        <w:rPr>
          <w:lang w:val="hr-HR"/>
        </w:rPr>
        <w:t>škorec</w:t>
      </w:r>
      <w:r w:rsidR="000847DE">
        <w:rPr>
          <w:lang w:val="hr-HR"/>
        </w:rPr>
        <w:t>.</w:t>
      </w:r>
      <w:r w:rsidR="000847DE" w:rsidRPr="00060DB2">
        <w:t xml:space="preserve"> </w:t>
      </w:r>
      <w:r w:rsidR="00751E96">
        <w:t>»</w:t>
      </w:r>
      <w:r w:rsidR="00B148ED" w:rsidRPr="00060DB2">
        <w:t>Zagreber Germanistische Beiträge</w:t>
      </w:r>
      <w:r w:rsidR="00751E96">
        <w:t>«</w:t>
      </w:r>
      <w:r w:rsidR="00B148ED" w:rsidRPr="00060DB2">
        <w:t>, Beiheft 7</w:t>
      </w:r>
      <w:r w:rsidR="00102C27">
        <w:t xml:space="preserve"> (</w:t>
      </w:r>
      <w:r w:rsidR="00B148ED" w:rsidRPr="00060DB2">
        <w:t>2004</w:t>
      </w:r>
      <w:r w:rsidR="00102C27">
        <w:t>)</w:t>
      </w:r>
      <w:r w:rsidR="00B148ED" w:rsidRPr="00060DB2">
        <w:t>, S. 33–71.</w:t>
      </w:r>
    </w:p>
    <w:p w:rsidR="00A90C36" w:rsidRPr="00060DB2" w:rsidRDefault="00A90C36" w:rsidP="00953181"/>
    <w:p w:rsidR="00A90C36" w:rsidRPr="00060DB2" w:rsidRDefault="00A90C36" w:rsidP="004A22DD">
      <w:pPr>
        <w:numPr>
          <w:ilvl w:val="0"/>
          <w:numId w:val="3"/>
        </w:numPr>
      </w:pPr>
      <w:r w:rsidRPr="00060DB2">
        <w:rPr>
          <w:b/>
        </w:rPr>
        <w:t>Aufsatz in Periodik</w:t>
      </w:r>
      <w:r w:rsidR="0080723B" w:rsidRPr="00060DB2">
        <w:rPr>
          <w:b/>
        </w:rPr>
        <w:t>um</w:t>
      </w:r>
    </w:p>
    <w:p w:rsidR="00E93502" w:rsidRDefault="00E93502" w:rsidP="00843687">
      <w:pPr>
        <w:spacing w:line="240" w:lineRule="auto"/>
        <w:ind w:left="360" w:firstLine="0"/>
      </w:pPr>
    </w:p>
    <w:p w:rsidR="00A90C36" w:rsidRDefault="00B33700" w:rsidP="00843687">
      <w:pPr>
        <w:spacing w:line="240" w:lineRule="auto"/>
        <w:ind w:left="360" w:firstLine="0"/>
      </w:pPr>
      <w:r>
        <w:t xml:space="preserve">Krichmeier, Christian: </w:t>
      </w:r>
      <w:r w:rsidRPr="00E93502">
        <w:rPr>
          <w:i/>
        </w:rPr>
        <w:t>›Tjam patram‹. Musikalische Poetik beim frühen Brecht</w:t>
      </w:r>
      <w:r>
        <w:t xml:space="preserve">. </w:t>
      </w:r>
      <w:r w:rsidR="00751E96">
        <w:t>»</w:t>
      </w:r>
      <w:r w:rsidR="00A90C36" w:rsidRPr="00060DB2">
        <w:t>Zagreber Germanistische Beiträge</w:t>
      </w:r>
      <w:r w:rsidR="00751E96">
        <w:t>«</w:t>
      </w:r>
      <w:r w:rsidR="00204F42">
        <w:t xml:space="preserve"> </w:t>
      </w:r>
      <w:r>
        <w:t>2</w:t>
      </w:r>
      <w:r w:rsidR="00204F42">
        <w:t>6</w:t>
      </w:r>
      <w:r w:rsidR="00A732CA">
        <w:t xml:space="preserve"> </w:t>
      </w:r>
      <w:r w:rsidR="009949D4">
        <w:t>(</w:t>
      </w:r>
      <w:r>
        <w:t>2017</w:t>
      </w:r>
      <w:r w:rsidR="009949D4">
        <w:t>)</w:t>
      </w:r>
      <w:r>
        <w:t xml:space="preserve">: </w:t>
      </w:r>
      <w:r w:rsidRPr="00B33700">
        <w:rPr>
          <w:i/>
        </w:rPr>
        <w:t>Musikalisches Erschreiben</w:t>
      </w:r>
      <w:r w:rsidR="00A90C36" w:rsidRPr="00060DB2">
        <w:t xml:space="preserve">, S. </w:t>
      </w:r>
      <w:r>
        <w:t>4</w:t>
      </w:r>
      <w:r w:rsidR="00A90C36" w:rsidRPr="00060DB2">
        <w:t>9–</w:t>
      </w:r>
      <w:r>
        <w:t>74</w:t>
      </w:r>
      <w:r w:rsidR="00A90C36" w:rsidRPr="00060DB2">
        <w:t>.</w:t>
      </w:r>
    </w:p>
    <w:p w:rsidR="00204F42" w:rsidRDefault="00204F42" w:rsidP="00193DA9">
      <w:pPr>
        <w:ind w:left="360" w:firstLine="0"/>
      </w:pPr>
    </w:p>
    <w:p w:rsidR="00204F42" w:rsidRDefault="00204F42" w:rsidP="00C736F6">
      <w:pPr>
        <w:spacing w:line="240" w:lineRule="auto"/>
        <w:ind w:firstLine="0"/>
      </w:pPr>
      <w:r>
        <w:t xml:space="preserve">Bei doppelter Nummerierung (alte Reihe, neue Reihe o.ä.) oder sonstwie intransparenter Zählung – bitte mit Nr. </w:t>
      </w:r>
      <w:r w:rsidRPr="00D477E7">
        <w:rPr>
          <w:u w:val="single"/>
        </w:rPr>
        <w:t>und</w:t>
      </w:r>
      <w:r>
        <w:t xml:space="preserve"> J</w:t>
      </w:r>
      <w:r w:rsidR="00C736F6">
        <w:t>ahrgang</w:t>
      </w:r>
      <w:r>
        <w:t>:</w:t>
      </w:r>
    </w:p>
    <w:p w:rsidR="00E22F8D" w:rsidRPr="00060DB2" w:rsidRDefault="00E22F8D" w:rsidP="00E22F8D">
      <w:pPr>
        <w:spacing w:line="240" w:lineRule="auto"/>
        <w:ind w:left="357" w:firstLine="0"/>
      </w:pPr>
    </w:p>
    <w:p w:rsidR="005B6E2E" w:rsidRPr="0064767F" w:rsidRDefault="00C736F6" w:rsidP="00843687">
      <w:pPr>
        <w:spacing w:line="240" w:lineRule="auto"/>
        <w:ind w:left="360" w:firstLine="0"/>
      </w:pPr>
      <w:r w:rsidRPr="00060DB2">
        <w:t>Lovrić</w:t>
      </w:r>
      <w:r>
        <w:t>,</w:t>
      </w:r>
      <w:r w:rsidRPr="00060DB2">
        <w:t xml:space="preserve"> </w:t>
      </w:r>
      <w:r w:rsidR="00193DA9" w:rsidRPr="00060DB2">
        <w:t>Goran</w:t>
      </w:r>
      <w:r w:rsidR="005B6E2E" w:rsidRPr="00060DB2">
        <w:t xml:space="preserve">: </w:t>
      </w:r>
      <w:r w:rsidR="005B6E2E" w:rsidRPr="00060DB2">
        <w:rPr>
          <w:i/>
        </w:rPr>
        <w:t>Peter Handke. Iskušavanje književnih konvencija</w:t>
      </w:r>
      <w:r w:rsidR="00AD22FA" w:rsidRPr="00060DB2">
        <w:t xml:space="preserve">. </w:t>
      </w:r>
      <w:r w:rsidR="00751E96" w:rsidRPr="0064767F">
        <w:t>»Književna smotra«</w:t>
      </w:r>
      <w:r w:rsidR="00D85D0C" w:rsidRPr="0064767F">
        <w:t>,</w:t>
      </w:r>
      <w:r w:rsidR="005B6E2E" w:rsidRPr="0064767F">
        <w:t xml:space="preserve"> Nr. 4</w:t>
      </w:r>
      <w:r w:rsidR="000678C4" w:rsidRPr="0064767F">
        <w:t xml:space="preserve"> </w:t>
      </w:r>
      <w:r w:rsidR="005B6E2E" w:rsidRPr="0064767F">
        <w:t>(106), Jg. 29</w:t>
      </w:r>
      <w:r w:rsidR="000678C4" w:rsidRPr="0064767F">
        <w:t xml:space="preserve"> </w:t>
      </w:r>
      <w:r w:rsidR="005B6E2E" w:rsidRPr="0064767F">
        <w:t>(1997), S. 93–97.</w:t>
      </w:r>
    </w:p>
    <w:p w:rsidR="00A90C36" w:rsidRPr="0064767F" w:rsidRDefault="00A90C36" w:rsidP="00953181"/>
    <w:p w:rsidR="00A90C36" w:rsidRPr="00060DB2" w:rsidRDefault="004369C7" w:rsidP="004A22DD">
      <w:pPr>
        <w:numPr>
          <w:ilvl w:val="0"/>
          <w:numId w:val="3"/>
        </w:numPr>
        <w:rPr>
          <w:b/>
        </w:rPr>
      </w:pPr>
      <w:r>
        <w:rPr>
          <w:b/>
        </w:rPr>
        <w:t xml:space="preserve">Aus dem </w:t>
      </w:r>
      <w:r w:rsidR="00A90C36" w:rsidRPr="00060DB2">
        <w:rPr>
          <w:b/>
        </w:rPr>
        <w:t>Internet</w:t>
      </w:r>
      <w:r w:rsidR="00B81313">
        <w:rPr>
          <w:b/>
        </w:rPr>
        <w:t xml:space="preserve"> </w:t>
      </w:r>
    </w:p>
    <w:p w:rsidR="00A90C36" w:rsidRDefault="004369C7" w:rsidP="00843687">
      <w:pPr>
        <w:spacing w:line="240" w:lineRule="auto"/>
        <w:ind w:left="360" w:firstLine="0"/>
      </w:pPr>
      <w:r w:rsidRPr="00060DB2">
        <w:t>Car</w:t>
      </w:r>
      <w:r>
        <w:t xml:space="preserve">, </w:t>
      </w:r>
      <w:r w:rsidR="00A90C36" w:rsidRPr="00060DB2">
        <w:t xml:space="preserve">Milka: </w:t>
      </w:r>
      <w:r w:rsidR="00A90C36" w:rsidRPr="00060DB2">
        <w:rPr>
          <w:i/>
        </w:rPr>
        <w:t>Unheimliche Nachbarschaften. Der österreichische Einfluß auf die Entwicklung des kroatischen Theaters 1840</w:t>
      </w:r>
      <w:r w:rsidR="009C03AB">
        <w:rPr>
          <w:i/>
        </w:rPr>
        <w:t>–</w:t>
      </w:r>
      <w:r w:rsidR="00A90C36" w:rsidRPr="00060DB2">
        <w:rPr>
          <w:i/>
        </w:rPr>
        <w:t>1918.</w:t>
      </w:r>
      <w:r w:rsidR="00A90C36" w:rsidRPr="00060DB2">
        <w:t xml:space="preserve"> </w:t>
      </w:r>
      <w:r w:rsidR="00D04D41">
        <w:t xml:space="preserve">In: </w:t>
      </w:r>
      <w:r w:rsidR="00A90C36" w:rsidRPr="00F1799C">
        <w:rPr>
          <w:i/>
        </w:rPr>
        <w:t>Kakanien revisited</w:t>
      </w:r>
      <w:r w:rsidR="00A90C36" w:rsidRPr="00D04D41">
        <w:t xml:space="preserve">. </w:t>
      </w:r>
      <w:r w:rsidR="00E960BA" w:rsidRPr="008132A1">
        <w:rPr>
          <w:highlight w:val="green"/>
        </w:rPr>
        <w:t>&lt;</w:t>
      </w:r>
      <w:r w:rsidR="00A90C36" w:rsidRPr="00060DB2">
        <w:t>h</w:t>
      </w:r>
      <w:hyperlink r:id="rId8" w:history="1">
        <w:r w:rsidR="00A90C36" w:rsidRPr="00060DB2">
          <w:rPr>
            <w:rStyle w:val="Hiperveza"/>
            <w:color w:val="auto"/>
            <w:u w:val="none"/>
          </w:rPr>
          <w:t>ttp://www.kakani</w:t>
        </w:r>
        <w:bookmarkStart w:id="1" w:name="_Hlt128360371"/>
        <w:r w:rsidR="00A90C36" w:rsidRPr="00060DB2">
          <w:rPr>
            <w:rStyle w:val="Hiperveza"/>
            <w:color w:val="auto"/>
            <w:u w:val="none"/>
          </w:rPr>
          <w:t>e</w:t>
        </w:r>
        <w:bookmarkEnd w:id="1"/>
        <w:r w:rsidR="00A90C36" w:rsidRPr="00060DB2">
          <w:rPr>
            <w:rStyle w:val="Hiperveza"/>
            <w:color w:val="auto"/>
            <w:u w:val="none"/>
          </w:rPr>
          <w:t>n.ac.at/beitr/fallstudie/MCar1.pdf</w:t>
        </w:r>
      </w:hyperlink>
      <w:r w:rsidR="00E960BA" w:rsidRPr="008132A1">
        <w:rPr>
          <w:highlight w:val="green"/>
        </w:rPr>
        <w:t>&gt;</w:t>
      </w:r>
      <w:r w:rsidR="00A90C36" w:rsidRPr="00060DB2">
        <w:t xml:space="preserve"> </w:t>
      </w:r>
      <w:r w:rsidR="00F33435">
        <w:t>(</w:t>
      </w:r>
      <w:r w:rsidR="00A90C36" w:rsidRPr="00060DB2">
        <w:t>9.11.2005).</w:t>
      </w:r>
    </w:p>
    <w:p w:rsidR="00D67062" w:rsidRDefault="00D67062" w:rsidP="00843687">
      <w:pPr>
        <w:spacing w:line="240" w:lineRule="auto"/>
        <w:ind w:left="360" w:firstLine="0"/>
      </w:pPr>
    </w:p>
    <w:p w:rsidR="00F1799C" w:rsidRPr="00F1799C" w:rsidRDefault="004369C7" w:rsidP="00F1799C">
      <w:pPr>
        <w:spacing w:line="240" w:lineRule="auto"/>
        <w:ind w:left="360" w:firstLine="0"/>
      </w:pPr>
      <w:r w:rsidRPr="00F1799C">
        <w:t>Bichler</w:t>
      </w:r>
      <w:r>
        <w:t xml:space="preserve">, </w:t>
      </w:r>
      <w:r w:rsidR="00F1799C">
        <w:t>Josef</w:t>
      </w:r>
      <w:r w:rsidR="00F1799C" w:rsidRPr="00F1799C">
        <w:t xml:space="preserve">: </w:t>
      </w:r>
      <w:r w:rsidR="00F1799C" w:rsidRPr="00F1799C">
        <w:rPr>
          <w:i/>
        </w:rPr>
        <w:t>Wir lassen uns gerne täuschen</w:t>
      </w:r>
      <w:r w:rsidR="00F1799C" w:rsidRPr="00F1799C">
        <w:t xml:space="preserve"> [Interview mit Anna Kim]. </w:t>
      </w:r>
      <w:r w:rsidR="00336BF1">
        <w:t>»</w:t>
      </w:r>
      <w:r w:rsidR="00F1799C" w:rsidRPr="00F1799C">
        <w:t>derStandard.at</w:t>
      </w:r>
      <w:r w:rsidR="00336BF1">
        <w:t>«</w:t>
      </w:r>
      <w:r w:rsidR="00F1799C" w:rsidRPr="00F1799C">
        <w:t xml:space="preserve">, 7.9.2012. </w:t>
      </w:r>
      <w:r w:rsidR="00E960BA" w:rsidRPr="008132A1">
        <w:rPr>
          <w:highlight w:val="green"/>
        </w:rPr>
        <w:t>&lt;</w:t>
      </w:r>
      <w:hyperlink r:id="rId9" w:history="1">
        <w:r w:rsidR="00F1799C" w:rsidRPr="00F1799C">
          <w:t>http://derstandard.at/1345166498910/Wir-lassen-uns-gerne-taeuschen</w:t>
        </w:r>
      </w:hyperlink>
      <w:r w:rsidR="00E960BA" w:rsidRPr="008132A1">
        <w:rPr>
          <w:highlight w:val="green"/>
        </w:rPr>
        <w:t>&gt;</w:t>
      </w:r>
      <w:r w:rsidR="00F1799C" w:rsidRPr="00F1799C">
        <w:t xml:space="preserve"> (15.12.2012).</w:t>
      </w:r>
    </w:p>
    <w:p w:rsidR="00A732CA" w:rsidRDefault="00A732CA" w:rsidP="00843687">
      <w:pPr>
        <w:spacing w:line="240" w:lineRule="auto"/>
        <w:ind w:left="360" w:firstLine="0"/>
      </w:pPr>
    </w:p>
    <w:p w:rsidR="00A732CA" w:rsidRDefault="00A732CA" w:rsidP="00843687">
      <w:pPr>
        <w:spacing w:line="240" w:lineRule="auto"/>
        <w:ind w:left="360" w:firstLine="0"/>
      </w:pPr>
      <w:r w:rsidRPr="003223B0">
        <w:rPr>
          <w:i/>
        </w:rPr>
        <w:t>Franz Kafka</w:t>
      </w:r>
      <w:r>
        <w:t xml:space="preserve">. In: </w:t>
      </w:r>
      <w:r w:rsidRPr="00F1799C">
        <w:rPr>
          <w:i/>
        </w:rPr>
        <w:t>Wikipedia. Die freie Enzyklopädie</w:t>
      </w:r>
      <w:r>
        <w:t xml:space="preserve">. </w:t>
      </w:r>
      <w:r w:rsidR="00E960BA" w:rsidRPr="008132A1">
        <w:rPr>
          <w:highlight w:val="green"/>
        </w:rPr>
        <w:t>&lt;</w:t>
      </w:r>
      <w:r w:rsidR="000678C4" w:rsidRPr="000678C4">
        <w:t>http://de.wikipedia.org/wiki/Kafka</w:t>
      </w:r>
      <w:r w:rsidR="00E960BA" w:rsidRPr="008132A1">
        <w:rPr>
          <w:highlight w:val="green"/>
        </w:rPr>
        <w:t>&gt;</w:t>
      </w:r>
      <w:r w:rsidR="000678C4">
        <w:t xml:space="preserve"> </w:t>
      </w:r>
      <w:r>
        <w:t>(1.1.2014)</w:t>
      </w:r>
      <w:r w:rsidR="003223B0">
        <w:t>.</w:t>
      </w:r>
    </w:p>
    <w:p w:rsidR="00B86CF3" w:rsidRDefault="00B86CF3" w:rsidP="00843687">
      <w:pPr>
        <w:spacing w:line="240" w:lineRule="auto"/>
        <w:ind w:left="360" w:firstLine="0"/>
      </w:pPr>
    </w:p>
    <w:p w:rsidR="00B86CF3" w:rsidRPr="00060DB2" w:rsidRDefault="00B86CF3" w:rsidP="00843687">
      <w:pPr>
        <w:spacing w:line="240" w:lineRule="auto"/>
        <w:ind w:left="360" w:firstLine="0"/>
      </w:pPr>
      <w:r w:rsidRPr="00B86CF3">
        <w:rPr>
          <w:i/>
        </w:rPr>
        <w:t>Duden online</w:t>
      </w:r>
      <w:r>
        <w:t>.</w:t>
      </w:r>
      <w:r w:rsidR="00EF2DB3">
        <w:t xml:space="preserve"> </w:t>
      </w:r>
      <w:r w:rsidR="00EF2DB3" w:rsidRPr="00CC73BD">
        <w:t>Berlin: Bibliographisches Institut</w:t>
      </w:r>
      <w:r w:rsidR="00EF2DB3">
        <w:t>, Dudenverlag.</w:t>
      </w:r>
      <w:r>
        <w:t xml:space="preserve"> </w:t>
      </w:r>
      <w:r w:rsidRPr="00B86CF3">
        <w:rPr>
          <w:highlight w:val="green"/>
        </w:rPr>
        <w:t>&lt;</w:t>
      </w:r>
      <w:r>
        <w:t>https://www.duden.de</w:t>
      </w:r>
      <w:r w:rsidRPr="00B86CF3">
        <w:rPr>
          <w:highlight w:val="green"/>
        </w:rPr>
        <w:t>&gt;</w:t>
      </w:r>
      <w:r>
        <w:t xml:space="preserve"> (1.2.2019)</w:t>
      </w:r>
      <w:r w:rsidR="00267A67">
        <w:t>.</w:t>
      </w:r>
    </w:p>
    <w:p w:rsidR="00B86CF3" w:rsidRDefault="00B86CF3" w:rsidP="00953181"/>
    <w:p w:rsidR="00B86CF3" w:rsidRDefault="00B86CF3" w:rsidP="00953181"/>
    <w:p w:rsidR="002B5A48" w:rsidRPr="00060DB2" w:rsidRDefault="002B5A48" w:rsidP="002B5A48">
      <w:pPr>
        <w:pStyle w:val="Naslov1"/>
      </w:pPr>
      <w:r w:rsidRPr="00060DB2">
        <w:t>Hervorhebungen</w:t>
      </w:r>
      <w:r>
        <w:t xml:space="preserve"> und </w:t>
      </w:r>
      <w:r w:rsidRPr="00060DB2">
        <w:t>Auslassungen</w:t>
      </w:r>
    </w:p>
    <w:p w:rsidR="002B5A48" w:rsidRDefault="002B5A48" w:rsidP="002B5A48">
      <w:pPr>
        <w:ind w:firstLine="0"/>
        <w:rPr>
          <w:lang w:val="hr-HR"/>
        </w:rPr>
      </w:pPr>
      <w:r w:rsidRPr="00060DB2">
        <w:rPr>
          <w:rFonts w:ascii="SymbolMT" w:hAnsi="SymbolMT"/>
          <w:lang w:val="hr-HR"/>
        </w:rPr>
        <w:t xml:space="preserve">Hervorhebungen möglichst sparsam verwenden und </w:t>
      </w:r>
      <w:r w:rsidRPr="00060DB2">
        <w:rPr>
          <w:lang w:val="hr-HR"/>
        </w:rPr>
        <w:t>folgendermaßen differenzieren:</w:t>
      </w:r>
    </w:p>
    <w:p w:rsidR="00FD6DCB" w:rsidRDefault="002B5A48" w:rsidP="002B5A48">
      <w:pPr>
        <w:numPr>
          <w:ilvl w:val="0"/>
          <w:numId w:val="10"/>
        </w:numPr>
        <w:rPr>
          <w:lang w:val="hr-HR"/>
        </w:rPr>
      </w:pPr>
      <w:r w:rsidRPr="00F03115">
        <w:rPr>
          <w:b/>
          <w:lang w:val="hr-HR"/>
        </w:rPr>
        <w:t xml:space="preserve">doppelte </w:t>
      </w:r>
      <w:r w:rsidRPr="004340CF">
        <w:rPr>
          <w:b/>
          <w:lang w:val="hr-HR"/>
        </w:rPr>
        <w:t>Anführung</w:t>
      </w:r>
      <w:r>
        <w:rPr>
          <w:lang w:val="hr-HR"/>
        </w:rPr>
        <w:t xml:space="preserve"> (» «) für:</w:t>
      </w:r>
      <w:r w:rsidR="00FD6DCB">
        <w:rPr>
          <w:lang w:val="hr-HR"/>
        </w:rPr>
        <w:t xml:space="preserve"> </w:t>
      </w:r>
    </w:p>
    <w:p w:rsidR="00FD6DCB" w:rsidRDefault="00FD6DCB" w:rsidP="00FD6DCB">
      <w:pPr>
        <w:ind w:firstLine="0"/>
        <w:rPr>
          <w:lang w:val="hr-HR"/>
        </w:rPr>
      </w:pPr>
      <w:r>
        <w:rPr>
          <w:lang w:val="hr-HR"/>
        </w:rPr>
        <w:tab/>
        <w:t xml:space="preserve">– </w:t>
      </w:r>
      <w:r w:rsidR="002B5A48">
        <w:rPr>
          <w:lang w:val="hr-HR"/>
        </w:rPr>
        <w:t>Zitate</w:t>
      </w:r>
    </w:p>
    <w:p w:rsidR="002B5A48" w:rsidRDefault="00FD6DCB" w:rsidP="00FD6DCB">
      <w:pPr>
        <w:ind w:firstLine="0"/>
        <w:rPr>
          <w:lang w:val="hr-HR"/>
        </w:rPr>
      </w:pPr>
      <w:r>
        <w:rPr>
          <w:lang w:val="hr-HR"/>
        </w:rPr>
        <w:tab/>
        <w:t>–</w:t>
      </w:r>
      <w:r w:rsidR="008F318F">
        <w:rPr>
          <w:lang w:val="hr-HR"/>
        </w:rPr>
        <w:t xml:space="preserve"> </w:t>
      </w:r>
      <w:r w:rsidR="002B5A48" w:rsidRPr="00060DB2">
        <w:rPr>
          <w:lang w:val="hr-HR"/>
        </w:rPr>
        <w:t>Titel von Periodika</w:t>
      </w:r>
      <w:r w:rsidR="008F318F">
        <w:rPr>
          <w:lang w:val="hr-HR"/>
        </w:rPr>
        <w:t xml:space="preserve"> (</w:t>
      </w:r>
      <w:r w:rsidR="008F318F" w:rsidRPr="008F318F">
        <w:rPr>
          <w:lang w:val="hr-HR"/>
        </w:rPr>
        <w:t>»Süddeutsche Zeitung«</w:t>
      </w:r>
      <w:r w:rsidR="008F318F">
        <w:rPr>
          <w:lang w:val="hr-HR"/>
        </w:rPr>
        <w:t>)</w:t>
      </w:r>
    </w:p>
    <w:p w:rsidR="002B5A48" w:rsidRPr="004340CF" w:rsidRDefault="002B5A48" w:rsidP="002B5A48">
      <w:pPr>
        <w:numPr>
          <w:ilvl w:val="0"/>
          <w:numId w:val="10"/>
        </w:numPr>
        <w:rPr>
          <w:lang w:val="hr-HR"/>
        </w:rPr>
      </w:pPr>
      <w:r w:rsidRPr="00F03115">
        <w:rPr>
          <w:b/>
          <w:lang w:val="hr-HR"/>
        </w:rPr>
        <w:t>einfache</w:t>
      </w:r>
      <w:r w:rsidRPr="008D6300">
        <w:rPr>
          <w:b/>
          <w:lang w:val="hr-HR"/>
        </w:rPr>
        <w:t xml:space="preserve"> </w:t>
      </w:r>
      <w:r w:rsidRPr="004340CF">
        <w:rPr>
          <w:b/>
          <w:lang w:val="hr-HR"/>
        </w:rPr>
        <w:t>Anführung</w:t>
      </w:r>
      <w:r w:rsidRPr="004340CF">
        <w:rPr>
          <w:lang w:val="hr-HR"/>
        </w:rPr>
        <w:t xml:space="preserve"> </w:t>
      </w:r>
      <w:r>
        <w:rPr>
          <w:lang w:val="hr-HR"/>
        </w:rPr>
        <w:t xml:space="preserve">(› ‹) </w:t>
      </w:r>
      <w:r w:rsidRPr="004340CF">
        <w:rPr>
          <w:lang w:val="hr-HR"/>
        </w:rPr>
        <w:t>für:</w:t>
      </w:r>
    </w:p>
    <w:p w:rsidR="002B5A48" w:rsidRDefault="002B5A48" w:rsidP="002B5A48">
      <w:pPr>
        <w:ind w:left="708" w:firstLine="0"/>
        <w:rPr>
          <w:lang w:val="hr-HR"/>
        </w:rPr>
      </w:pPr>
      <w:r>
        <w:rPr>
          <w:lang w:val="hr-HR"/>
        </w:rPr>
        <w:t>– Zitat im Zitat</w:t>
      </w:r>
      <w:r>
        <w:rPr>
          <w:lang w:val="hr-HR"/>
        </w:rPr>
        <w:br/>
        <w:t xml:space="preserve">– </w:t>
      </w:r>
      <w:r w:rsidRPr="00060DB2">
        <w:rPr>
          <w:lang w:val="hr-HR"/>
        </w:rPr>
        <w:t>uneigentliches Sprechen</w:t>
      </w:r>
      <w:r>
        <w:rPr>
          <w:lang w:val="hr-HR"/>
        </w:rPr>
        <w:br/>
        <w:t xml:space="preserve">– </w:t>
      </w:r>
      <w:r w:rsidRPr="00060DB2">
        <w:rPr>
          <w:lang w:val="hr-HR"/>
        </w:rPr>
        <w:t>Hervorhebung einzelner Wörter, Begriffe und Syntagmen</w:t>
      </w:r>
    </w:p>
    <w:p w:rsidR="002B5A48" w:rsidRDefault="002B5A48" w:rsidP="002B5A48">
      <w:pPr>
        <w:numPr>
          <w:ilvl w:val="0"/>
          <w:numId w:val="10"/>
        </w:numPr>
        <w:rPr>
          <w:lang w:val="hr-HR"/>
        </w:rPr>
      </w:pPr>
      <w:r w:rsidRPr="008D6300">
        <w:rPr>
          <w:b/>
          <w:lang w:val="hr-HR"/>
        </w:rPr>
        <w:t>Kursivschrift</w:t>
      </w:r>
      <w:r>
        <w:rPr>
          <w:lang w:val="hr-HR"/>
        </w:rPr>
        <w:t xml:space="preserve"> nur für:</w:t>
      </w:r>
    </w:p>
    <w:p w:rsidR="002B5A48" w:rsidRDefault="002B5A48" w:rsidP="002B5A48">
      <w:pPr>
        <w:ind w:left="708" w:firstLine="0"/>
        <w:rPr>
          <w:lang w:val="hr-HR"/>
        </w:rPr>
      </w:pPr>
      <w:r w:rsidRPr="008D6300">
        <w:rPr>
          <w:lang w:val="hr-HR"/>
        </w:rPr>
        <w:t>– besondere</w:t>
      </w:r>
      <w:r w:rsidRPr="00060DB2">
        <w:rPr>
          <w:lang w:val="hr-HR"/>
        </w:rPr>
        <w:t xml:space="preserve"> Betonung</w:t>
      </w:r>
      <w:r>
        <w:rPr>
          <w:lang w:val="hr-HR"/>
        </w:rPr>
        <w:br/>
        <w:t xml:space="preserve">– </w:t>
      </w:r>
      <w:r w:rsidRPr="00060DB2">
        <w:rPr>
          <w:lang w:val="hr-HR"/>
        </w:rPr>
        <w:t xml:space="preserve">alle Titel (außer Periodika) </w:t>
      </w:r>
      <w:r>
        <w:rPr>
          <w:lang w:val="hr-HR"/>
        </w:rPr>
        <w:t xml:space="preserve">in Fließtext, </w:t>
      </w:r>
      <w:r w:rsidRPr="00060DB2">
        <w:rPr>
          <w:lang w:val="hr-HR"/>
        </w:rPr>
        <w:t>Anmerkungen</w:t>
      </w:r>
      <w:r>
        <w:rPr>
          <w:lang w:val="hr-HR"/>
        </w:rPr>
        <w:t xml:space="preserve">, </w:t>
      </w:r>
      <w:r w:rsidRPr="00060DB2">
        <w:rPr>
          <w:lang w:val="hr-HR"/>
        </w:rPr>
        <w:t>Literaturverzeichnis</w:t>
      </w:r>
    </w:p>
    <w:p w:rsidR="002B5A48" w:rsidRDefault="002B5A48" w:rsidP="002B5A48">
      <w:pPr>
        <w:ind w:firstLine="708"/>
        <w:rPr>
          <w:lang w:val="hr-HR"/>
        </w:rPr>
      </w:pPr>
      <w:r>
        <w:rPr>
          <w:lang w:val="hr-HR"/>
        </w:rPr>
        <w:t>– sparsam bei Namen von Gegenständen, Institutionen, Veranstaltungen</w:t>
      </w:r>
    </w:p>
    <w:p w:rsidR="00736102" w:rsidRDefault="00736102" w:rsidP="00953181"/>
    <w:p w:rsidR="006562E0" w:rsidRDefault="006562E0" w:rsidP="00953181"/>
    <w:p w:rsidR="006562E0" w:rsidRDefault="006562E0" w:rsidP="00953181"/>
    <w:p w:rsidR="006562E0" w:rsidRPr="00060DB2" w:rsidRDefault="006562E0" w:rsidP="00953181"/>
    <w:p w:rsidR="001A1B91" w:rsidRPr="001A1B91" w:rsidRDefault="001A1B91" w:rsidP="00F1358A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color w:val="333399"/>
          <w:sz w:val="16"/>
          <w:szCs w:val="16"/>
        </w:rPr>
      </w:pPr>
    </w:p>
    <w:p w:rsidR="001A1B91" w:rsidRPr="001A1B91" w:rsidRDefault="00736102" w:rsidP="00F1358A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color w:val="333399"/>
        </w:rPr>
      </w:pPr>
      <w:r w:rsidRPr="00B05063">
        <w:rPr>
          <w:color w:val="333399"/>
        </w:rPr>
        <w:t>Noch ausführlicher</w:t>
      </w:r>
    </w:p>
    <w:p w:rsidR="002B5A48" w:rsidRDefault="002B5A48" w:rsidP="00F1358A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color w:val="333399"/>
        </w:rPr>
      </w:pPr>
      <w:r w:rsidRPr="00B05063">
        <w:rPr>
          <w:color w:val="333399"/>
        </w:rPr>
        <w:t>(für Präzision</w:t>
      </w:r>
      <w:r w:rsidR="001A1B91">
        <w:rPr>
          <w:color w:val="333399"/>
        </w:rPr>
        <w:t>sfritzen und für die Redaktion):</w:t>
      </w:r>
    </w:p>
    <w:p w:rsidR="001A1B91" w:rsidRPr="001A1B91" w:rsidRDefault="001A1B91" w:rsidP="001A1B91">
      <w:pPr>
        <w:ind w:firstLine="0"/>
      </w:pPr>
    </w:p>
    <w:p w:rsidR="002B5A48" w:rsidRPr="00736102" w:rsidRDefault="002B5A48" w:rsidP="008749BB">
      <w:pPr>
        <w:pStyle w:val="Naslov1"/>
        <w:rPr>
          <w:color w:val="333399"/>
        </w:rPr>
      </w:pPr>
      <w:r w:rsidRPr="00736102">
        <w:rPr>
          <w:color w:val="333399"/>
        </w:rPr>
        <w:t xml:space="preserve"> </w:t>
      </w:r>
    </w:p>
    <w:p w:rsidR="00A90C36" w:rsidRPr="00736102" w:rsidRDefault="00A90C36" w:rsidP="008749BB">
      <w:pPr>
        <w:pStyle w:val="Naslov1"/>
        <w:rPr>
          <w:color w:val="333399"/>
        </w:rPr>
      </w:pPr>
      <w:r w:rsidRPr="00736102">
        <w:rPr>
          <w:color w:val="333399"/>
        </w:rPr>
        <w:t>Hervorhebungen</w:t>
      </w:r>
      <w:r w:rsidR="003223B0" w:rsidRPr="00736102">
        <w:rPr>
          <w:color w:val="333399"/>
        </w:rPr>
        <w:t xml:space="preserve"> und </w:t>
      </w:r>
      <w:r w:rsidRPr="00736102">
        <w:rPr>
          <w:color w:val="333399"/>
        </w:rPr>
        <w:t>Auslassungen</w:t>
      </w:r>
    </w:p>
    <w:p w:rsidR="008D6300" w:rsidRPr="00736102" w:rsidRDefault="00A90C36" w:rsidP="00F03115">
      <w:pPr>
        <w:ind w:firstLine="0"/>
        <w:rPr>
          <w:color w:val="333399"/>
          <w:lang w:val="hr-HR"/>
        </w:rPr>
      </w:pPr>
      <w:r w:rsidRPr="00736102">
        <w:rPr>
          <w:rFonts w:ascii="SymbolMT" w:hAnsi="SymbolMT"/>
          <w:color w:val="333399"/>
          <w:lang w:val="hr-HR"/>
        </w:rPr>
        <w:t>Hervorhebung</w:t>
      </w:r>
      <w:r w:rsidR="00B658F4" w:rsidRPr="00736102">
        <w:rPr>
          <w:rFonts w:ascii="SymbolMT" w:hAnsi="SymbolMT"/>
          <w:color w:val="333399"/>
          <w:lang w:val="hr-HR"/>
        </w:rPr>
        <w:t xml:space="preserve">en </w:t>
      </w:r>
      <w:r w:rsidR="008749BB" w:rsidRPr="00736102">
        <w:rPr>
          <w:rFonts w:ascii="SymbolMT" w:hAnsi="SymbolMT"/>
          <w:color w:val="333399"/>
          <w:lang w:val="hr-HR"/>
        </w:rPr>
        <w:t>möglichst sparsam verwenden</w:t>
      </w:r>
      <w:r w:rsidR="00887FA4" w:rsidRPr="00736102">
        <w:rPr>
          <w:rFonts w:ascii="SymbolMT" w:hAnsi="SymbolMT"/>
          <w:color w:val="333399"/>
          <w:lang w:val="hr-HR"/>
        </w:rPr>
        <w:t xml:space="preserve"> und</w:t>
      </w:r>
      <w:r w:rsidR="00425A0D" w:rsidRPr="00736102">
        <w:rPr>
          <w:rFonts w:ascii="SymbolMT" w:hAnsi="SymbolMT"/>
          <w:color w:val="333399"/>
          <w:lang w:val="hr-HR"/>
        </w:rPr>
        <w:t xml:space="preserve"> </w:t>
      </w:r>
      <w:r w:rsidR="0031155B" w:rsidRPr="00736102">
        <w:rPr>
          <w:color w:val="333399"/>
          <w:lang w:val="hr-HR"/>
        </w:rPr>
        <w:t>folgendermaßen differenzieren</w:t>
      </w:r>
      <w:r w:rsidR="00193DA9" w:rsidRPr="00736102">
        <w:rPr>
          <w:color w:val="333399"/>
          <w:lang w:val="hr-HR"/>
        </w:rPr>
        <w:t>:</w:t>
      </w:r>
      <w:r w:rsidR="00384825" w:rsidRPr="00736102">
        <w:rPr>
          <w:rStyle w:val="Referencafusnote"/>
          <w:color w:val="333399"/>
          <w:sz w:val="20"/>
          <w:szCs w:val="20"/>
        </w:rPr>
        <w:footnoteReference w:id="1"/>
      </w:r>
    </w:p>
    <w:p w:rsidR="004340CF" w:rsidRPr="00736102" w:rsidRDefault="00F03115" w:rsidP="00F03115">
      <w:pPr>
        <w:numPr>
          <w:ilvl w:val="0"/>
          <w:numId w:val="10"/>
        </w:numPr>
        <w:rPr>
          <w:color w:val="333399"/>
          <w:lang w:val="hr-HR"/>
        </w:rPr>
      </w:pPr>
      <w:r w:rsidRPr="00736102">
        <w:rPr>
          <w:b/>
          <w:color w:val="333399"/>
          <w:lang w:val="hr-HR"/>
        </w:rPr>
        <w:t>doppelte Anführung</w:t>
      </w:r>
      <w:r w:rsidRPr="00736102">
        <w:rPr>
          <w:color w:val="333399"/>
          <w:lang w:val="hr-HR"/>
        </w:rPr>
        <w:t xml:space="preserve"> </w:t>
      </w:r>
      <w:r w:rsidR="002133BD" w:rsidRPr="00736102">
        <w:rPr>
          <w:color w:val="333399"/>
          <w:lang w:val="hr-HR"/>
        </w:rPr>
        <w:t xml:space="preserve">(» «) </w:t>
      </w:r>
      <w:r w:rsidRPr="00736102">
        <w:rPr>
          <w:color w:val="333399"/>
          <w:lang w:val="hr-HR"/>
        </w:rPr>
        <w:t>für:</w:t>
      </w:r>
    </w:p>
    <w:p w:rsidR="00F03115" w:rsidRPr="00736102" w:rsidRDefault="00F03115" w:rsidP="004340CF">
      <w:pPr>
        <w:ind w:left="708" w:firstLine="0"/>
        <w:rPr>
          <w:color w:val="333399"/>
          <w:lang w:val="hr-HR"/>
        </w:rPr>
      </w:pPr>
      <w:r w:rsidRPr="00736102">
        <w:rPr>
          <w:color w:val="333399"/>
          <w:lang w:val="hr-HR"/>
        </w:rPr>
        <w:t>– Zitate</w:t>
      </w:r>
      <w:r w:rsidR="004340CF" w:rsidRPr="00736102">
        <w:rPr>
          <w:color w:val="333399"/>
          <w:lang w:val="hr-HR"/>
        </w:rPr>
        <w:br/>
        <w:t>– Titel von Periodika</w:t>
      </w:r>
    </w:p>
    <w:p w:rsidR="00F03115" w:rsidRPr="00736102" w:rsidRDefault="00F03115" w:rsidP="004340CF">
      <w:pPr>
        <w:ind w:left="720" w:firstLine="696"/>
        <w:rPr>
          <w:color w:val="333399"/>
          <w:sz w:val="16"/>
          <w:szCs w:val="16"/>
        </w:rPr>
      </w:pPr>
      <w:r w:rsidRPr="00736102">
        <w:rPr>
          <w:color w:val="333399"/>
          <w:sz w:val="16"/>
          <w:szCs w:val="16"/>
          <w:lang w:val="hr-HR"/>
        </w:rPr>
        <w:t xml:space="preserve">die </w:t>
      </w:r>
      <w:r w:rsidR="00751E96" w:rsidRPr="00736102">
        <w:rPr>
          <w:color w:val="333399"/>
          <w:sz w:val="16"/>
          <w:szCs w:val="16"/>
          <w:lang w:val="hr-HR"/>
        </w:rPr>
        <w:t>»</w:t>
      </w:r>
      <w:r w:rsidRPr="00736102">
        <w:rPr>
          <w:color w:val="333399"/>
          <w:sz w:val="16"/>
          <w:szCs w:val="16"/>
          <w:lang w:val="hr-HR"/>
        </w:rPr>
        <w:t>erotische[n] Wahlverwandschaften</w:t>
      </w:r>
      <w:r w:rsidR="00751E96" w:rsidRPr="00736102">
        <w:rPr>
          <w:color w:val="333399"/>
          <w:sz w:val="16"/>
          <w:szCs w:val="16"/>
          <w:lang w:val="hr-HR"/>
        </w:rPr>
        <w:t>«</w:t>
      </w:r>
      <w:r w:rsidRPr="00736102">
        <w:rPr>
          <w:color w:val="333399"/>
          <w:sz w:val="16"/>
          <w:szCs w:val="16"/>
        </w:rPr>
        <w:t xml:space="preserve"> Goethes (</w:t>
      </w:r>
      <w:r w:rsidR="009F5FAE" w:rsidRPr="00736102">
        <w:rPr>
          <w:color w:val="333399"/>
          <w:sz w:val="16"/>
          <w:szCs w:val="16"/>
        </w:rPr>
        <w:t>=</w:t>
      </w:r>
      <w:r w:rsidRPr="00736102">
        <w:rPr>
          <w:color w:val="333399"/>
          <w:sz w:val="16"/>
          <w:szCs w:val="16"/>
        </w:rPr>
        <w:t>Zitat; verlangt exakte Widergabe sowie Quellennachweis)</w:t>
      </w:r>
    </w:p>
    <w:p w:rsidR="00F03115" w:rsidRPr="00736102" w:rsidRDefault="00751E96" w:rsidP="00F03115">
      <w:pPr>
        <w:ind w:left="1416" w:firstLine="0"/>
        <w:rPr>
          <w:color w:val="333399"/>
          <w:sz w:val="16"/>
          <w:szCs w:val="16"/>
          <w:lang w:val="hr-HR"/>
        </w:rPr>
      </w:pPr>
      <w:r w:rsidRPr="00736102">
        <w:rPr>
          <w:color w:val="333399"/>
          <w:sz w:val="16"/>
          <w:szCs w:val="16"/>
          <w:lang w:val="hr-HR"/>
        </w:rPr>
        <w:t>»</w:t>
      </w:r>
      <w:r w:rsidR="00F03115" w:rsidRPr="00736102">
        <w:rPr>
          <w:color w:val="333399"/>
          <w:sz w:val="16"/>
          <w:szCs w:val="16"/>
          <w:lang w:val="hr-HR"/>
        </w:rPr>
        <w:t>LiLi</w:t>
      </w:r>
      <w:r w:rsidRPr="00736102">
        <w:rPr>
          <w:color w:val="333399"/>
          <w:sz w:val="16"/>
          <w:szCs w:val="16"/>
          <w:lang w:val="hr-HR"/>
        </w:rPr>
        <w:t>«; »Kulturpoetik«; »</w:t>
      </w:r>
      <w:r w:rsidR="00F03115" w:rsidRPr="00736102">
        <w:rPr>
          <w:color w:val="333399"/>
          <w:sz w:val="16"/>
          <w:szCs w:val="16"/>
          <w:lang w:val="hr-HR"/>
        </w:rPr>
        <w:t>Süddeutsche Zeitung</w:t>
      </w:r>
      <w:r w:rsidRPr="00736102">
        <w:rPr>
          <w:color w:val="333399"/>
          <w:sz w:val="16"/>
          <w:szCs w:val="16"/>
          <w:lang w:val="hr-HR"/>
        </w:rPr>
        <w:t>«</w:t>
      </w:r>
      <w:r w:rsidR="004340CF" w:rsidRPr="00736102">
        <w:rPr>
          <w:color w:val="333399"/>
          <w:sz w:val="16"/>
          <w:szCs w:val="16"/>
          <w:lang w:val="hr-HR"/>
        </w:rPr>
        <w:t xml:space="preserve"> (</w:t>
      </w:r>
      <w:r w:rsidR="009F5FAE" w:rsidRPr="00736102">
        <w:rPr>
          <w:color w:val="333399"/>
          <w:sz w:val="16"/>
          <w:szCs w:val="16"/>
          <w:lang w:val="hr-HR"/>
        </w:rPr>
        <w:t>=</w:t>
      </w:r>
      <w:r w:rsidR="004340CF" w:rsidRPr="00736102">
        <w:rPr>
          <w:color w:val="333399"/>
          <w:sz w:val="16"/>
          <w:szCs w:val="16"/>
          <w:lang w:val="hr-HR"/>
        </w:rPr>
        <w:t>Titel von Printmedien)</w:t>
      </w:r>
      <w:r w:rsidRPr="00736102">
        <w:rPr>
          <w:color w:val="333399"/>
          <w:sz w:val="16"/>
          <w:szCs w:val="16"/>
          <w:lang w:val="hr-HR"/>
        </w:rPr>
        <w:br/>
        <w:t>»</w:t>
      </w:r>
      <w:r w:rsidR="00F03115" w:rsidRPr="00736102">
        <w:rPr>
          <w:color w:val="333399"/>
          <w:sz w:val="16"/>
          <w:szCs w:val="16"/>
          <w:lang w:val="hr-HR"/>
        </w:rPr>
        <w:t>S</w:t>
      </w:r>
      <w:r w:rsidRPr="00736102">
        <w:rPr>
          <w:color w:val="333399"/>
          <w:sz w:val="16"/>
          <w:szCs w:val="16"/>
        </w:rPr>
        <w:t>üddeutsche.de«</w:t>
      </w:r>
      <w:r w:rsidR="00F03115" w:rsidRPr="00736102">
        <w:rPr>
          <w:color w:val="333399"/>
          <w:sz w:val="16"/>
          <w:szCs w:val="16"/>
        </w:rPr>
        <w:t>;</w:t>
      </w:r>
      <w:r w:rsidR="00F03115" w:rsidRPr="00736102">
        <w:rPr>
          <w:color w:val="333399"/>
          <w:sz w:val="16"/>
          <w:szCs w:val="16"/>
          <w:lang w:val="hr-HR"/>
        </w:rPr>
        <w:t xml:space="preserve"> </w:t>
      </w:r>
      <w:r w:rsidRPr="00736102">
        <w:rPr>
          <w:color w:val="333399"/>
          <w:sz w:val="16"/>
          <w:szCs w:val="16"/>
        </w:rPr>
        <w:t>»derStandard.at«; »Spiegel online«</w:t>
      </w:r>
      <w:r w:rsidR="004340CF" w:rsidRPr="00736102">
        <w:rPr>
          <w:color w:val="333399"/>
          <w:sz w:val="16"/>
          <w:szCs w:val="16"/>
        </w:rPr>
        <w:t xml:space="preserve"> (</w:t>
      </w:r>
      <w:r w:rsidR="009F5FAE" w:rsidRPr="00736102">
        <w:rPr>
          <w:color w:val="333399"/>
          <w:sz w:val="16"/>
          <w:szCs w:val="16"/>
        </w:rPr>
        <w:t>=</w:t>
      </w:r>
      <w:r w:rsidR="004340CF" w:rsidRPr="00736102">
        <w:rPr>
          <w:color w:val="333399"/>
          <w:sz w:val="16"/>
          <w:szCs w:val="16"/>
        </w:rPr>
        <w:t>Titel von online-Medien)</w:t>
      </w:r>
    </w:p>
    <w:p w:rsidR="004340CF" w:rsidRPr="00736102" w:rsidRDefault="00F03115" w:rsidP="00F03115">
      <w:pPr>
        <w:numPr>
          <w:ilvl w:val="0"/>
          <w:numId w:val="10"/>
        </w:numPr>
        <w:rPr>
          <w:color w:val="333399"/>
          <w:lang w:val="hr-HR"/>
        </w:rPr>
      </w:pPr>
      <w:r w:rsidRPr="00736102">
        <w:rPr>
          <w:b/>
          <w:color w:val="333399"/>
          <w:lang w:val="hr-HR"/>
        </w:rPr>
        <w:t>einfache Anführung</w:t>
      </w:r>
      <w:r w:rsidRPr="00736102">
        <w:rPr>
          <w:color w:val="333399"/>
          <w:lang w:val="hr-HR"/>
        </w:rPr>
        <w:t xml:space="preserve"> </w:t>
      </w:r>
      <w:r w:rsidR="002133BD" w:rsidRPr="00736102">
        <w:rPr>
          <w:color w:val="333399"/>
          <w:lang w:val="hr-HR"/>
        </w:rPr>
        <w:t xml:space="preserve">(› ‹) </w:t>
      </w:r>
      <w:r w:rsidRPr="00736102">
        <w:rPr>
          <w:color w:val="333399"/>
          <w:lang w:val="hr-HR"/>
        </w:rPr>
        <w:t>für:</w:t>
      </w:r>
    </w:p>
    <w:p w:rsidR="00F03115" w:rsidRPr="00736102" w:rsidRDefault="004340CF" w:rsidP="004340CF">
      <w:pPr>
        <w:ind w:left="708" w:firstLine="0"/>
        <w:rPr>
          <w:color w:val="333399"/>
          <w:lang w:val="hr-HR"/>
        </w:rPr>
      </w:pPr>
      <w:r w:rsidRPr="00736102">
        <w:rPr>
          <w:color w:val="333399"/>
          <w:lang w:val="hr-HR"/>
        </w:rPr>
        <w:t>– Zitat im Zitat</w:t>
      </w:r>
      <w:r w:rsidRPr="00736102">
        <w:rPr>
          <w:color w:val="333399"/>
          <w:lang w:val="hr-HR"/>
        </w:rPr>
        <w:br/>
      </w:r>
      <w:r w:rsidR="00F03115" w:rsidRPr="00736102">
        <w:rPr>
          <w:color w:val="333399"/>
          <w:lang w:val="hr-HR"/>
        </w:rPr>
        <w:t>– uneigentliches Sprechen</w:t>
      </w:r>
      <w:r w:rsidR="00F03115" w:rsidRPr="00736102">
        <w:rPr>
          <w:color w:val="333399"/>
          <w:lang w:val="hr-HR"/>
        </w:rPr>
        <w:br/>
        <w:t>– Hervorhebung einzelner Wörter, Begriffe und Syntagmen</w:t>
      </w:r>
    </w:p>
    <w:p w:rsidR="00F03115" w:rsidRPr="00736102" w:rsidRDefault="00751E96" w:rsidP="00F03115">
      <w:pPr>
        <w:ind w:left="1068" w:firstLine="348"/>
        <w:rPr>
          <w:color w:val="333399"/>
          <w:sz w:val="16"/>
          <w:szCs w:val="16"/>
          <w:lang w:val="hr-HR"/>
        </w:rPr>
      </w:pPr>
      <w:r w:rsidRPr="00736102">
        <w:rPr>
          <w:color w:val="333399"/>
          <w:sz w:val="16"/>
          <w:szCs w:val="16"/>
          <w:lang w:val="hr-HR"/>
        </w:rPr>
        <w:t xml:space="preserve"> »Da sagte sie: ›</w:t>
      </w:r>
      <w:r w:rsidR="004340CF" w:rsidRPr="00736102">
        <w:rPr>
          <w:color w:val="333399"/>
          <w:sz w:val="16"/>
          <w:szCs w:val="16"/>
          <w:lang w:val="hr-HR"/>
        </w:rPr>
        <w:t>O!</w:t>
      </w:r>
      <w:r w:rsidRPr="00736102">
        <w:rPr>
          <w:color w:val="333399"/>
          <w:sz w:val="16"/>
          <w:szCs w:val="16"/>
          <w:lang w:val="hr-HR"/>
        </w:rPr>
        <w:t>‹</w:t>
      </w:r>
      <w:r w:rsidR="004340CF" w:rsidRPr="00736102">
        <w:rPr>
          <w:color w:val="333399"/>
          <w:sz w:val="16"/>
          <w:szCs w:val="16"/>
          <w:lang w:val="hr-HR"/>
        </w:rPr>
        <w:t>, und schlug sich vor die Stirn.</w:t>
      </w:r>
      <w:r w:rsidRPr="00736102">
        <w:rPr>
          <w:color w:val="333399"/>
          <w:sz w:val="16"/>
          <w:szCs w:val="16"/>
          <w:lang w:val="hr-HR"/>
        </w:rPr>
        <w:t>«</w:t>
      </w:r>
      <w:r w:rsidR="004340CF" w:rsidRPr="00736102">
        <w:rPr>
          <w:color w:val="333399"/>
          <w:sz w:val="16"/>
          <w:szCs w:val="16"/>
          <w:lang w:val="hr-HR"/>
        </w:rPr>
        <w:t xml:space="preserve"> (</w:t>
      </w:r>
      <w:r w:rsidR="009F5FAE" w:rsidRPr="00736102">
        <w:rPr>
          <w:color w:val="333399"/>
          <w:sz w:val="16"/>
          <w:szCs w:val="16"/>
          <w:lang w:val="hr-HR"/>
        </w:rPr>
        <w:t>=</w:t>
      </w:r>
      <w:r w:rsidR="004340CF" w:rsidRPr="00736102">
        <w:rPr>
          <w:color w:val="333399"/>
          <w:sz w:val="16"/>
          <w:szCs w:val="16"/>
          <w:lang w:val="hr-HR"/>
        </w:rPr>
        <w:t>Zitat im Zitat)</w:t>
      </w:r>
      <w:r w:rsidR="004340CF" w:rsidRPr="00736102">
        <w:rPr>
          <w:color w:val="333399"/>
          <w:sz w:val="16"/>
          <w:szCs w:val="16"/>
          <w:lang w:val="hr-HR"/>
        </w:rPr>
        <w:br/>
      </w:r>
      <w:r w:rsidR="004340CF" w:rsidRPr="00736102">
        <w:rPr>
          <w:color w:val="333399"/>
          <w:sz w:val="16"/>
          <w:szCs w:val="16"/>
          <w:lang w:val="hr-HR"/>
        </w:rPr>
        <w:tab/>
      </w:r>
      <w:r w:rsidRPr="00736102">
        <w:rPr>
          <w:color w:val="333399"/>
          <w:sz w:val="16"/>
          <w:szCs w:val="16"/>
          <w:lang w:val="hr-HR"/>
        </w:rPr>
        <w:t>die ›</w:t>
      </w:r>
      <w:r w:rsidR="004340CF" w:rsidRPr="00736102">
        <w:rPr>
          <w:color w:val="333399"/>
          <w:sz w:val="16"/>
          <w:szCs w:val="16"/>
          <w:lang w:val="hr-HR"/>
        </w:rPr>
        <w:t>wahre</w:t>
      </w:r>
      <w:r w:rsidRPr="00736102">
        <w:rPr>
          <w:color w:val="333399"/>
          <w:sz w:val="16"/>
          <w:szCs w:val="16"/>
          <w:lang w:val="hr-HR"/>
        </w:rPr>
        <w:t>‹</w:t>
      </w:r>
      <w:r w:rsidR="004340CF" w:rsidRPr="00736102">
        <w:rPr>
          <w:color w:val="333399"/>
          <w:sz w:val="16"/>
          <w:szCs w:val="16"/>
          <w:lang w:val="hr-HR"/>
        </w:rPr>
        <w:t xml:space="preserve"> Erkenntnis (</w:t>
      </w:r>
      <w:r w:rsidR="009F5FAE" w:rsidRPr="00736102">
        <w:rPr>
          <w:color w:val="333399"/>
          <w:sz w:val="16"/>
          <w:szCs w:val="16"/>
          <w:lang w:val="hr-HR"/>
        </w:rPr>
        <w:t>=</w:t>
      </w:r>
      <w:r w:rsidR="004340CF" w:rsidRPr="00736102">
        <w:rPr>
          <w:color w:val="333399"/>
          <w:sz w:val="16"/>
          <w:szCs w:val="16"/>
          <w:lang w:val="hr-HR"/>
        </w:rPr>
        <w:t>uneigentliches Sprechen)</w:t>
      </w:r>
    </w:p>
    <w:p w:rsidR="00F03115" w:rsidRPr="00736102" w:rsidRDefault="00F03115" w:rsidP="00F03115">
      <w:pPr>
        <w:ind w:left="1416" w:firstLine="0"/>
        <w:rPr>
          <w:color w:val="333399"/>
          <w:lang w:val="hr-HR"/>
        </w:rPr>
      </w:pPr>
      <w:r w:rsidRPr="00736102">
        <w:rPr>
          <w:color w:val="333399"/>
          <w:sz w:val="16"/>
          <w:szCs w:val="16"/>
          <w:lang w:val="hr-HR"/>
        </w:rPr>
        <w:t xml:space="preserve">die Begriffe </w:t>
      </w:r>
      <w:r w:rsidR="00751E96" w:rsidRPr="00736102">
        <w:rPr>
          <w:color w:val="333399"/>
          <w:sz w:val="16"/>
          <w:szCs w:val="16"/>
          <w:lang w:val="hr-HR"/>
        </w:rPr>
        <w:t>›</w:t>
      </w:r>
      <w:r w:rsidRPr="00736102">
        <w:rPr>
          <w:color w:val="333399"/>
          <w:sz w:val="16"/>
          <w:szCs w:val="16"/>
          <w:lang w:val="hr-HR"/>
        </w:rPr>
        <w:t>Paradigma</w:t>
      </w:r>
      <w:r w:rsidR="00751E96" w:rsidRPr="00736102">
        <w:rPr>
          <w:color w:val="333399"/>
          <w:sz w:val="16"/>
          <w:szCs w:val="16"/>
          <w:lang w:val="hr-HR"/>
        </w:rPr>
        <w:t>‹ und ›</w:t>
      </w:r>
      <w:r w:rsidRPr="00736102">
        <w:rPr>
          <w:color w:val="333399"/>
          <w:sz w:val="16"/>
          <w:szCs w:val="16"/>
          <w:lang w:val="hr-HR"/>
        </w:rPr>
        <w:t>Syntagma</w:t>
      </w:r>
      <w:r w:rsidR="00751E96" w:rsidRPr="00736102">
        <w:rPr>
          <w:color w:val="333399"/>
          <w:sz w:val="16"/>
          <w:szCs w:val="16"/>
          <w:lang w:val="hr-HR"/>
        </w:rPr>
        <w:t>‹</w:t>
      </w:r>
      <w:r w:rsidRPr="00736102">
        <w:rPr>
          <w:color w:val="333399"/>
          <w:sz w:val="16"/>
          <w:szCs w:val="16"/>
          <w:lang w:val="hr-HR"/>
        </w:rPr>
        <w:t xml:space="preserve"> (</w:t>
      </w:r>
      <w:r w:rsidR="009F5FAE" w:rsidRPr="00736102">
        <w:rPr>
          <w:color w:val="333399"/>
          <w:sz w:val="16"/>
          <w:szCs w:val="16"/>
          <w:lang w:val="hr-HR"/>
        </w:rPr>
        <w:t>=</w:t>
      </w:r>
      <w:r w:rsidRPr="00736102">
        <w:rPr>
          <w:color w:val="333399"/>
          <w:sz w:val="16"/>
          <w:szCs w:val="16"/>
          <w:lang w:val="hr-HR"/>
        </w:rPr>
        <w:t>hervorgehob. Fachtermini u.a.)</w:t>
      </w:r>
      <w:r w:rsidRPr="00736102">
        <w:rPr>
          <w:color w:val="333399"/>
          <w:sz w:val="16"/>
          <w:szCs w:val="16"/>
          <w:lang w:val="hr-HR"/>
        </w:rPr>
        <w:br/>
      </w:r>
      <w:r w:rsidR="00751E96" w:rsidRPr="00736102">
        <w:rPr>
          <w:color w:val="333399"/>
          <w:sz w:val="16"/>
          <w:szCs w:val="16"/>
        </w:rPr>
        <w:t>›</w:t>
      </w:r>
      <w:r w:rsidRPr="00736102">
        <w:rPr>
          <w:color w:val="333399"/>
          <w:sz w:val="16"/>
          <w:szCs w:val="16"/>
        </w:rPr>
        <w:t>Wahlverwandtschaften</w:t>
      </w:r>
      <w:r w:rsidR="00751E96" w:rsidRPr="00736102">
        <w:rPr>
          <w:color w:val="333399"/>
          <w:sz w:val="16"/>
          <w:szCs w:val="16"/>
        </w:rPr>
        <w:t>‹</w:t>
      </w:r>
      <w:r w:rsidRPr="00736102">
        <w:rPr>
          <w:color w:val="333399"/>
          <w:sz w:val="16"/>
          <w:szCs w:val="16"/>
        </w:rPr>
        <w:t xml:space="preserve"> in der Art Goethes (</w:t>
      </w:r>
      <w:r w:rsidR="009F5FAE" w:rsidRPr="00736102">
        <w:rPr>
          <w:color w:val="333399"/>
          <w:sz w:val="16"/>
          <w:szCs w:val="16"/>
        </w:rPr>
        <w:t>=</w:t>
      </w:r>
      <w:r w:rsidRPr="00736102">
        <w:rPr>
          <w:color w:val="333399"/>
          <w:sz w:val="16"/>
          <w:szCs w:val="16"/>
        </w:rPr>
        <w:t>hervorgeh. Prägung eines Autors oder Diskurses)</w:t>
      </w:r>
    </w:p>
    <w:p w:rsidR="008D6300" w:rsidRPr="00736102" w:rsidRDefault="008D6300" w:rsidP="008D6300">
      <w:pPr>
        <w:numPr>
          <w:ilvl w:val="0"/>
          <w:numId w:val="10"/>
        </w:numPr>
        <w:rPr>
          <w:color w:val="333399"/>
          <w:lang w:val="hr-HR"/>
        </w:rPr>
      </w:pPr>
      <w:r w:rsidRPr="00736102">
        <w:rPr>
          <w:b/>
          <w:color w:val="333399"/>
          <w:lang w:val="hr-HR"/>
        </w:rPr>
        <w:t>Kursivschrift</w:t>
      </w:r>
      <w:r w:rsidRPr="00736102">
        <w:rPr>
          <w:color w:val="333399"/>
          <w:lang w:val="hr-HR"/>
        </w:rPr>
        <w:t xml:space="preserve"> nur für:</w:t>
      </w:r>
    </w:p>
    <w:p w:rsidR="000A6759" w:rsidRPr="00736102" w:rsidRDefault="008D6300" w:rsidP="000A6759">
      <w:pPr>
        <w:ind w:left="708" w:firstLine="0"/>
        <w:rPr>
          <w:color w:val="333399"/>
          <w:lang w:val="hr-HR"/>
        </w:rPr>
      </w:pPr>
      <w:r w:rsidRPr="00736102">
        <w:rPr>
          <w:color w:val="333399"/>
          <w:lang w:val="hr-HR"/>
        </w:rPr>
        <w:t>– besondere Betonung</w:t>
      </w:r>
      <w:r w:rsidRPr="00736102">
        <w:rPr>
          <w:color w:val="333399"/>
          <w:lang w:val="hr-HR"/>
        </w:rPr>
        <w:br/>
        <w:t xml:space="preserve">– alle Titel (außer Periodika) </w:t>
      </w:r>
      <w:r w:rsidR="003C3D86" w:rsidRPr="00736102">
        <w:rPr>
          <w:color w:val="333399"/>
          <w:lang w:val="hr-HR"/>
        </w:rPr>
        <w:t xml:space="preserve">in Fließtext, </w:t>
      </w:r>
      <w:r w:rsidRPr="00736102">
        <w:rPr>
          <w:color w:val="333399"/>
          <w:lang w:val="hr-HR"/>
        </w:rPr>
        <w:t>Anmerkungen</w:t>
      </w:r>
      <w:r w:rsidR="003C3D86" w:rsidRPr="00736102">
        <w:rPr>
          <w:color w:val="333399"/>
          <w:lang w:val="hr-HR"/>
        </w:rPr>
        <w:t xml:space="preserve">, </w:t>
      </w:r>
      <w:r w:rsidRPr="00736102">
        <w:rPr>
          <w:color w:val="333399"/>
          <w:lang w:val="hr-HR"/>
        </w:rPr>
        <w:t>Literaturverzeichnis</w:t>
      </w:r>
    </w:p>
    <w:p w:rsidR="000A6759" w:rsidRPr="00736102" w:rsidRDefault="000A6759" w:rsidP="000A6759">
      <w:pPr>
        <w:ind w:firstLine="708"/>
        <w:rPr>
          <w:color w:val="333399"/>
          <w:lang w:val="hr-HR"/>
        </w:rPr>
      </w:pPr>
      <w:r w:rsidRPr="00736102">
        <w:rPr>
          <w:color w:val="333399"/>
          <w:lang w:val="hr-HR"/>
        </w:rPr>
        <w:t>– sparsam bei Namen von Gegenständen, Institutionen, Veranstaltungen</w:t>
      </w:r>
    </w:p>
    <w:p w:rsidR="004340CF" w:rsidRPr="00736102" w:rsidRDefault="004340CF" w:rsidP="004340CF">
      <w:pPr>
        <w:ind w:left="708" w:firstLine="708"/>
        <w:rPr>
          <w:color w:val="333399"/>
          <w:sz w:val="16"/>
          <w:szCs w:val="16"/>
          <w:lang w:val="hr-HR"/>
        </w:rPr>
      </w:pPr>
      <w:r w:rsidRPr="00736102">
        <w:rPr>
          <w:color w:val="333399"/>
          <w:sz w:val="16"/>
          <w:szCs w:val="16"/>
          <w:lang w:val="hr-HR"/>
        </w:rPr>
        <w:t xml:space="preserve">nicht </w:t>
      </w:r>
      <w:r w:rsidRPr="00736102">
        <w:rPr>
          <w:i/>
          <w:color w:val="333399"/>
          <w:sz w:val="16"/>
          <w:szCs w:val="16"/>
          <w:lang w:val="hr-HR"/>
        </w:rPr>
        <w:t>einmal</w:t>
      </w:r>
      <w:r w:rsidRPr="00736102">
        <w:rPr>
          <w:color w:val="333399"/>
          <w:sz w:val="16"/>
          <w:szCs w:val="16"/>
          <w:lang w:val="hr-HR"/>
        </w:rPr>
        <w:t xml:space="preserve"> modern sein, sondern </w:t>
      </w:r>
      <w:r w:rsidRPr="00736102">
        <w:rPr>
          <w:i/>
          <w:color w:val="333399"/>
          <w:sz w:val="16"/>
          <w:szCs w:val="16"/>
          <w:lang w:val="hr-HR"/>
        </w:rPr>
        <w:t>immer</w:t>
      </w:r>
      <w:r w:rsidRPr="00736102">
        <w:rPr>
          <w:color w:val="333399"/>
          <w:sz w:val="16"/>
          <w:szCs w:val="16"/>
          <w:lang w:val="hr-HR"/>
        </w:rPr>
        <w:t xml:space="preserve"> modern sein (</w:t>
      </w:r>
      <w:r w:rsidR="009F5FAE" w:rsidRPr="00736102">
        <w:rPr>
          <w:color w:val="333399"/>
          <w:sz w:val="16"/>
          <w:szCs w:val="16"/>
          <w:lang w:val="hr-HR"/>
        </w:rPr>
        <w:t>=</w:t>
      </w:r>
      <w:r w:rsidRPr="00736102">
        <w:rPr>
          <w:color w:val="333399"/>
          <w:sz w:val="16"/>
          <w:szCs w:val="16"/>
          <w:lang w:val="hr-HR"/>
        </w:rPr>
        <w:t>hervorgehob. Sinnbetonung)</w:t>
      </w:r>
    </w:p>
    <w:p w:rsidR="000A6759" w:rsidRPr="00736102" w:rsidRDefault="00F03115" w:rsidP="004340CF">
      <w:pPr>
        <w:ind w:left="708" w:firstLine="708"/>
        <w:rPr>
          <w:color w:val="333399"/>
          <w:sz w:val="16"/>
          <w:szCs w:val="16"/>
          <w:lang w:val="hr-HR"/>
        </w:rPr>
      </w:pPr>
      <w:r w:rsidRPr="00736102">
        <w:rPr>
          <w:i/>
          <w:color w:val="333399"/>
          <w:sz w:val="16"/>
          <w:szCs w:val="16"/>
          <w:lang w:val="hr-HR"/>
        </w:rPr>
        <w:t>Die Wahlverwandtschaften</w:t>
      </w:r>
      <w:r w:rsidRPr="00736102">
        <w:rPr>
          <w:color w:val="333399"/>
          <w:sz w:val="16"/>
          <w:szCs w:val="16"/>
        </w:rPr>
        <w:t xml:space="preserve"> von Johann Wolfgang Goethe (</w:t>
      </w:r>
      <w:r w:rsidR="009F5FAE" w:rsidRPr="00736102">
        <w:rPr>
          <w:color w:val="333399"/>
          <w:sz w:val="16"/>
          <w:szCs w:val="16"/>
        </w:rPr>
        <w:t>=</w:t>
      </w:r>
      <w:r w:rsidRPr="00736102">
        <w:rPr>
          <w:color w:val="333399"/>
          <w:sz w:val="16"/>
          <w:szCs w:val="16"/>
        </w:rPr>
        <w:t>Titel)</w:t>
      </w:r>
    </w:p>
    <w:p w:rsidR="000A6759" w:rsidRPr="00736102" w:rsidRDefault="000A6759" w:rsidP="000A6759">
      <w:pPr>
        <w:ind w:left="708" w:firstLine="708"/>
        <w:rPr>
          <w:color w:val="333399"/>
          <w:sz w:val="16"/>
          <w:szCs w:val="16"/>
          <w:lang w:val="hr-HR"/>
        </w:rPr>
      </w:pPr>
      <w:r w:rsidRPr="00736102">
        <w:rPr>
          <w:color w:val="333399"/>
          <w:sz w:val="16"/>
          <w:szCs w:val="16"/>
          <w:lang w:val="hr-HR"/>
        </w:rPr>
        <w:t xml:space="preserve">das </w:t>
      </w:r>
      <w:r w:rsidRPr="00736102">
        <w:rPr>
          <w:i/>
          <w:color w:val="333399"/>
          <w:sz w:val="16"/>
          <w:szCs w:val="16"/>
          <w:lang w:val="hr-HR"/>
        </w:rPr>
        <w:t>SS City of Brooklyn</w:t>
      </w:r>
      <w:r w:rsidRPr="00736102">
        <w:rPr>
          <w:color w:val="333399"/>
          <w:sz w:val="16"/>
          <w:szCs w:val="16"/>
          <w:lang w:val="hr-HR"/>
        </w:rPr>
        <w:t xml:space="preserve"> (=Hervorhebung steigert Verständlichkeit)</w:t>
      </w:r>
    </w:p>
    <w:p w:rsidR="000A6759" w:rsidRPr="00736102" w:rsidRDefault="000A6759" w:rsidP="004340CF">
      <w:pPr>
        <w:ind w:left="708" w:firstLine="708"/>
        <w:rPr>
          <w:color w:val="333399"/>
          <w:sz w:val="16"/>
          <w:szCs w:val="16"/>
          <w:lang w:val="hr-HR"/>
        </w:rPr>
      </w:pPr>
      <w:r w:rsidRPr="00736102">
        <w:rPr>
          <w:color w:val="333399"/>
          <w:sz w:val="16"/>
          <w:szCs w:val="16"/>
          <w:lang w:val="hr-HR"/>
        </w:rPr>
        <w:t xml:space="preserve">die Titanic / die </w:t>
      </w:r>
      <w:r w:rsidRPr="00736102">
        <w:rPr>
          <w:i/>
          <w:color w:val="333399"/>
          <w:sz w:val="16"/>
          <w:szCs w:val="16"/>
          <w:lang w:val="hr-HR"/>
        </w:rPr>
        <w:t>Titanic</w:t>
      </w:r>
    </w:p>
    <w:p w:rsidR="00F03115" w:rsidRPr="00736102" w:rsidRDefault="000A6759" w:rsidP="004340CF">
      <w:pPr>
        <w:ind w:left="708" w:firstLine="708"/>
        <w:rPr>
          <w:color w:val="333399"/>
          <w:sz w:val="16"/>
          <w:szCs w:val="16"/>
        </w:rPr>
      </w:pPr>
      <w:r w:rsidRPr="00736102">
        <w:rPr>
          <w:color w:val="333399"/>
          <w:sz w:val="16"/>
          <w:szCs w:val="16"/>
          <w:lang w:val="hr-HR"/>
        </w:rPr>
        <w:t>Jury des Ingeborg-Bachmann-Preises bei den Tagen der deutschsprachigen Literatur in Klagenfurt</w:t>
      </w:r>
      <w:r w:rsidRPr="00736102">
        <w:rPr>
          <w:color w:val="333399"/>
          <w:sz w:val="16"/>
          <w:szCs w:val="16"/>
          <w:lang w:val="hr-HR"/>
        </w:rPr>
        <w:br/>
      </w:r>
    </w:p>
    <w:p w:rsidR="00A90C36" w:rsidRPr="00736102" w:rsidRDefault="00A90C36" w:rsidP="004A22DD">
      <w:pPr>
        <w:numPr>
          <w:ilvl w:val="0"/>
          <w:numId w:val="3"/>
        </w:numPr>
        <w:rPr>
          <w:rFonts w:ascii="TimesNewRoman" w:hAnsi="TimesNewRoman"/>
          <w:noProof w:val="0"/>
          <w:color w:val="333399"/>
          <w:lang w:val="hr-HR"/>
        </w:rPr>
      </w:pPr>
      <w:r w:rsidRPr="00736102">
        <w:rPr>
          <w:rFonts w:ascii="TimesNewRoman" w:hAnsi="TimesNewRoman"/>
          <w:b/>
          <w:noProof w:val="0"/>
          <w:color w:val="333399"/>
          <w:lang w:val="hr-HR"/>
        </w:rPr>
        <w:t>fett</w:t>
      </w:r>
      <w:r w:rsidR="00891516" w:rsidRPr="00736102">
        <w:rPr>
          <w:rFonts w:ascii="TimesNewRoman" w:hAnsi="TimesNewRoman"/>
          <w:noProof w:val="0"/>
          <w:color w:val="333399"/>
          <w:lang w:val="hr-HR"/>
        </w:rPr>
        <w:t>:</w:t>
      </w:r>
      <w:r w:rsidRPr="00736102">
        <w:rPr>
          <w:rFonts w:ascii="TimesNewRoman" w:hAnsi="TimesNewRoman"/>
          <w:noProof w:val="0"/>
          <w:color w:val="333399"/>
          <w:lang w:val="hr-HR"/>
        </w:rPr>
        <w:t xml:space="preserve"> nur für Zwischentitel, bei Wortlisten in linguist. Analysen u.ä.</w:t>
      </w:r>
    </w:p>
    <w:p w:rsidR="00B658F4" w:rsidRPr="00736102" w:rsidRDefault="000B7C78" w:rsidP="004A22DD">
      <w:pPr>
        <w:numPr>
          <w:ilvl w:val="0"/>
          <w:numId w:val="3"/>
        </w:numPr>
        <w:rPr>
          <w:rFonts w:ascii="TimesNewRoman" w:hAnsi="TimesNewRoman"/>
          <w:noProof w:val="0"/>
          <w:color w:val="333399"/>
          <w:lang w:val="hr-HR"/>
        </w:rPr>
      </w:pPr>
      <w:r w:rsidRPr="00736102">
        <w:rPr>
          <w:rFonts w:ascii="TimesNewRoman" w:hAnsi="TimesNewRoman"/>
          <w:b/>
          <w:noProof w:val="0"/>
          <w:color w:val="333399"/>
          <w:lang w:val="hr-HR"/>
        </w:rPr>
        <w:t>eckige Klammern</w:t>
      </w:r>
      <w:r w:rsidRPr="00736102">
        <w:rPr>
          <w:rFonts w:ascii="TimesNewRoman" w:hAnsi="TimesNewRoman"/>
          <w:noProof w:val="0"/>
          <w:color w:val="333399"/>
          <w:lang w:val="hr-HR"/>
        </w:rPr>
        <w:t xml:space="preserve">: für </w:t>
      </w:r>
      <w:r w:rsidR="00A90C36" w:rsidRPr="00736102">
        <w:rPr>
          <w:rFonts w:ascii="TimesNewRoman" w:hAnsi="TimesNewRoman"/>
          <w:noProof w:val="0"/>
          <w:color w:val="333399"/>
          <w:lang w:val="hr-HR"/>
        </w:rPr>
        <w:t>Auslassungen</w:t>
      </w:r>
      <w:r w:rsidR="004A22DD" w:rsidRPr="00736102">
        <w:rPr>
          <w:rFonts w:ascii="TimesNewRoman" w:hAnsi="TimesNewRoman"/>
          <w:noProof w:val="0"/>
          <w:color w:val="333399"/>
          <w:lang w:val="hr-HR"/>
        </w:rPr>
        <w:t xml:space="preserve"> und Ergänzungen</w:t>
      </w:r>
    </w:p>
    <w:p w:rsidR="00A90C36" w:rsidRPr="00736102" w:rsidRDefault="00751E96" w:rsidP="00B658F4">
      <w:pPr>
        <w:spacing w:line="240" w:lineRule="auto"/>
        <w:ind w:left="357" w:firstLine="0"/>
        <w:rPr>
          <w:rFonts w:ascii="TimesNewRoman" w:hAnsi="TimesNewRoman"/>
          <w:noProof w:val="0"/>
          <w:color w:val="333399"/>
          <w:sz w:val="16"/>
          <w:szCs w:val="16"/>
          <w:lang w:val="hr-HR"/>
        </w:rPr>
      </w:pPr>
      <w:r w:rsidRPr="00736102">
        <w:rPr>
          <w:rFonts w:ascii="TimesNewRoman" w:hAnsi="TimesNewRoman"/>
          <w:noProof w:val="0"/>
          <w:color w:val="333399"/>
          <w:sz w:val="16"/>
          <w:szCs w:val="16"/>
          <w:lang w:val="hr-HR"/>
        </w:rPr>
        <w:t>»</w:t>
      </w:r>
      <w:r w:rsidR="0051515F" w:rsidRPr="00736102">
        <w:rPr>
          <w:rFonts w:ascii="TimesNewRoman" w:hAnsi="TimesNewRoman"/>
          <w:noProof w:val="0"/>
          <w:color w:val="333399"/>
          <w:sz w:val="16"/>
          <w:szCs w:val="16"/>
          <w:lang w:val="hr-HR"/>
        </w:rPr>
        <w:t>Zugegeben: i</w:t>
      </w:r>
      <w:r w:rsidR="0031155B" w:rsidRPr="00736102">
        <w:rPr>
          <w:rFonts w:ascii="TimesNewRoman" w:hAnsi="TimesNewRoman"/>
          <w:noProof w:val="0"/>
          <w:color w:val="333399"/>
          <w:sz w:val="16"/>
          <w:szCs w:val="16"/>
          <w:lang w:val="hr-HR"/>
        </w:rPr>
        <w:t>ch [Oskar] bin Insasse einer Heil- und Pflegeanstalt</w:t>
      </w:r>
      <w:r w:rsidR="0051515F" w:rsidRPr="00736102">
        <w:rPr>
          <w:rFonts w:ascii="TimesNewRoman" w:hAnsi="TimesNewRoman"/>
          <w:noProof w:val="0"/>
          <w:color w:val="333399"/>
          <w:sz w:val="16"/>
          <w:szCs w:val="16"/>
          <w:lang w:val="hr-HR"/>
        </w:rPr>
        <w:t>, mein Pfleger beobachtet mich,</w:t>
      </w:r>
      <w:r w:rsidR="0031155B" w:rsidRPr="00736102">
        <w:rPr>
          <w:rFonts w:ascii="TimesNewRoman" w:hAnsi="TimesNewRoman"/>
          <w:noProof w:val="0"/>
          <w:color w:val="333399"/>
          <w:sz w:val="16"/>
          <w:szCs w:val="16"/>
          <w:lang w:val="hr-HR"/>
        </w:rPr>
        <w:t xml:space="preserve"> […]</w:t>
      </w:r>
      <w:r w:rsidR="0051515F" w:rsidRPr="00736102">
        <w:rPr>
          <w:rFonts w:ascii="TimesNewRoman" w:hAnsi="TimesNewRoman"/>
          <w:noProof w:val="0"/>
          <w:color w:val="333399"/>
          <w:sz w:val="16"/>
          <w:szCs w:val="16"/>
          <w:lang w:val="hr-HR"/>
        </w:rPr>
        <w:t>; denn in der Tür ist ein Guckloch</w:t>
      </w:r>
      <w:r w:rsidRPr="00736102">
        <w:rPr>
          <w:rFonts w:ascii="TimesNewRoman" w:hAnsi="TimesNewRoman"/>
          <w:noProof w:val="0"/>
          <w:color w:val="333399"/>
          <w:sz w:val="16"/>
          <w:szCs w:val="16"/>
          <w:lang w:val="hr-HR"/>
        </w:rPr>
        <w:t>«; die »Heil- und Pflegeanstalt[en]«</w:t>
      </w:r>
      <w:r w:rsidR="0031155B" w:rsidRPr="00736102">
        <w:rPr>
          <w:rFonts w:ascii="TimesNewRoman" w:hAnsi="TimesNewRoman"/>
          <w:noProof w:val="0"/>
          <w:color w:val="333399"/>
          <w:sz w:val="16"/>
          <w:szCs w:val="16"/>
          <w:lang w:val="hr-HR"/>
        </w:rPr>
        <w:t xml:space="preserve"> bei Günter Grass</w:t>
      </w:r>
    </w:p>
    <w:p w:rsidR="00EA5D92" w:rsidRPr="00736102" w:rsidRDefault="00EA5D92" w:rsidP="00EA5D92">
      <w:pPr>
        <w:spacing w:line="240" w:lineRule="auto"/>
        <w:ind w:left="357" w:firstLine="0"/>
        <w:rPr>
          <w:rFonts w:ascii="TimesNewRoman" w:hAnsi="TimesNewRoman"/>
          <w:noProof w:val="0"/>
          <w:color w:val="333399"/>
          <w:sz w:val="16"/>
          <w:szCs w:val="16"/>
          <w:lang w:val="hr-HR"/>
        </w:rPr>
      </w:pPr>
    </w:p>
    <w:p w:rsidR="00EA5D92" w:rsidRPr="00736102" w:rsidRDefault="009F5FAE" w:rsidP="003223B0">
      <w:pPr>
        <w:spacing w:line="240" w:lineRule="auto"/>
        <w:ind w:left="357" w:firstLine="0"/>
        <w:rPr>
          <w:rFonts w:ascii="TimesNewRoman" w:hAnsi="TimesNewRoman"/>
          <w:noProof w:val="0"/>
          <w:color w:val="333399"/>
          <w:sz w:val="16"/>
          <w:szCs w:val="16"/>
          <w:lang w:val="hr-HR"/>
        </w:rPr>
      </w:pPr>
      <w:r w:rsidRPr="00736102">
        <w:rPr>
          <w:rFonts w:ascii="TimesNewRoman" w:hAnsi="TimesNewRoman"/>
          <w:noProof w:val="0"/>
          <w:color w:val="333399"/>
          <w:sz w:val="16"/>
          <w:szCs w:val="16"/>
          <w:lang w:val="hr-HR"/>
        </w:rPr>
        <w:t>...</w:t>
      </w:r>
      <w:r w:rsidR="00EA5D92" w:rsidRPr="00736102">
        <w:rPr>
          <w:rFonts w:ascii="TimesNewRoman" w:hAnsi="TimesNewRoman"/>
          <w:noProof w:val="0"/>
          <w:color w:val="333399"/>
          <w:sz w:val="16"/>
          <w:szCs w:val="16"/>
          <w:lang w:val="hr-HR"/>
        </w:rPr>
        <w:t>der verstärkten ethischen Haltung</w:t>
      </w:r>
      <w:r w:rsidRPr="00736102">
        <w:rPr>
          <w:rFonts w:ascii="TimesNewRoman" w:hAnsi="TimesNewRoman"/>
          <w:noProof w:val="0"/>
          <w:color w:val="333399"/>
          <w:sz w:val="16"/>
          <w:szCs w:val="16"/>
          <w:lang w:val="hr-HR"/>
        </w:rPr>
        <w:t>...</w:t>
      </w:r>
      <w:r w:rsidR="002E21D8" w:rsidRPr="00736102">
        <w:rPr>
          <w:rFonts w:ascii="TimesNewRoman" w:hAnsi="TimesNewRoman"/>
          <w:noProof w:val="0"/>
          <w:color w:val="333399"/>
          <w:sz w:val="16"/>
          <w:szCs w:val="16"/>
          <w:lang w:val="hr-HR"/>
        </w:rPr>
        <w:t xml:space="preserve">  </w:t>
      </w:r>
      <w:r w:rsidR="00EF68FC" w:rsidRPr="00736102">
        <w:rPr>
          <w:noProof w:val="0"/>
          <w:color w:val="333399"/>
          <w:sz w:val="16"/>
          <w:szCs w:val="16"/>
          <w:lang w:val="hr-HR"/>
        </w:rPr>
        <w:t xml:space="preserve">→ </w:t>
      </w:r>
      <w:r w:rsidRPr="00736102">
        <w:rPr>
          <w:rFonts w:ascii="TimesNewRoman" w:hAnsi="TimesNewRoman"/>
          <w:noProof w:val="0"/>
          <w:color w:val="333399"/>
          <w:sz w:val="16"/>
          <w:szCs w:val="16"/>
          <w:lang w:val="hr-HR"/>
        </w:rPr>
        <w:t xml:space="preserve"> </w:t>
      </w:r>
      <w:r w:rsidR="00751E96" w:rsidRPr="00736102">
        <w:rPr>
          <w:rFonts w:ascii="TimesNewRoman" w:hAnsi="TimesNewRoman"/>
          <w:noProof w:val="0"/>
          <w:color w:val="333399"/>
          <w:sz w:val="16"/>
          <w:szCs w:val="16"/>
          <w:lang w:val="hr-HR"/>
        </w:rPr>
        <w:t>eine »</w:t>
      </w:r>
      <w:r w:rsidR="00EA5D92" w:rsidRPr="00736102">
        <w:rPr>
          <w:rFonts w:ascii="TimesNewRoman" w:hAnsi="TimesNewRoman"/>
          <w:noProof w:val="0"/>
          <w:color w:val="333399"/>
          <w:sz w:val="16"/>
          <w:szCs w:val="16"/>
          <w:lang w:val="hr-HR"/>
        </w:rPr>
        <w:t>verstärkte[ ] ethische[ ] Haltung</w:t>
      </w:r>
      <w:r w:rsidR="00751E96" w:rsidRPr="00736102">
        <w:rPr>
          <w:rFonts w:ascii="TimesNewRoman" w:hAnsi="TimesNewRoman"/>
          <w:noProof w:val="0"/>
          <w:color w:val="333399"/>
          <w:sz w:val="16"/>
          <w:szCs w:val="16"/>
          <w:lang w:val="hr-HR"/>
        </w:rPr>
        <w:t>«</w:t>
      </w:r>
    </w:p>
    <w:p w:rsidR="003223B0" w:rsidRPr="00736102" w:rsidRDefault="003223B0" w:rsidP="003223B0">
      <w:pPr>
        <w:rPr>
          <w:color w:val="333399"/>
        </w:rPr>
      </w:pPr>
    </w:p>
    <w:p w:rsidR="003C3D86" w:rsidRPr="00736102" w:rsidRDefault="003C3D86" w:rsidP="003223B0">
      <w:pPr>
        <w:rPr>
          <w:color w:val="333399"/>
        </w:rPr>
      </w:pPr>
    </w:p>
    <w:p w:rsidR="00A90C36" w:rsidRPr="00736102" w:rsidRDefault="00112880" w:rsidP="00112880">
      <w:pPr>
        <w:pStyle w:val="Naslov1"/>
        <w:rPr>
          <w:color w:val="333399"/>
        </w:rPr>
      </w:pPr>
      <w:r w:rsidRPr="00736102">
        <w:rPr>
          <w:color w:val="333399"/>
        </w:rPr>
        <w:t>Abkürzungen in folgender Form:</w:t>
      </w:r>
    </w:p>
    <w:p w:rsidR="00112880" w:rsidRPr="00736102" w:rsidRDefault="00C639AA" w:rsidP="00112880">
      <w:pPr>
        <w:numPr>
          <w:ilvl w:val="0"/>
          <w:numId w:val="7"/>
        </w:numPr>
        <w:rPr>
          <w:color w:val="333399"/>
        </w:rPr>
      </w:pPr>
      <w:r w:rsidRPr="00736102">
        <w:rPr>
          <w:color w:val="333399"/>
        </w:rPr>
        <w:t>z.B., u.a.</w:t>
      </w:r>
      <w:r w:rsidR="00ED5ED9" w:rsidRPr="00736102">
        <w:rPr>
          <w:color w:val="333399"/>
        </w:rPr>
        <w:t xml:space="preserve">, </w:t>
      </w:r>
      <w:r w:rsidR="00B04A0F" w:rsidRPr="00736102">
        <w:rPr>
          <w:color w:val="333399"/>
        </w:rPr>
        <w:t xml:space="preserve">u.U., z.Z., </w:t>
      </w:r>
      <w:r w:rsidR="00304422" w:rsidRPr="00736102">
        <w:rPr>
          <w:color w:val="333399"/>
        </w:rPr>
        <w:t xml:space="preserve">u.dgl., </w:t>
      </w:r>
      <w:r w:rsidR="00ED5ED9" w:rsidRPr="00736102">
        <w:rPr>
          <w:color w:val="333399"/>
        </w:rPr>
        <w:t>d.h.</w:t>
      </w:r>
      <w:r w:rsidR="00537200" w:rsidRPr="00736102">
        <w:rPr>
          <w:color w:val="333399"/>
        </w:rPr>
        <w:t>, u.d.T.</w:t>
      </w:r>
      <w:r w:rsidR="00865CC4" w:rsidRPr="00736102">
        <w:rPr>
          <w:color w:val="333399"/>
        </w:rPr>
        <w:t xml:space="preserve"> </w:t>
      </w:r>
      <w:r w:rsidR="00ED5ED9" w:rsidRPr="00736102">
        <w:rPr>
          <w:color w:val="333399"/>
        </w:rPr>
        <w:t>[=ohne Leerstelle]</w:t>
      </w:r>
    </w:p>
    <w:p w:rsidR="00674228" w:rsidRPr="00736102" w:rsidRDefault="00674228" w:rsidP="00674228">
      <w:pPr>
        <w:numPr>
          <w:ilvl w:val="0"/>
          <w:numId w:val="7"/>
        </w:numPr>
        <w:rPr>
          <w:color w:val="333399"/>
        </w:rPr>
      </w:pPr>
      <w:r w:rsidRPr="00736102">
        <w:rPr>
          <w:color w:val="333399"/>
        </w:rPr>
        <w:t>Initialen mit Leerstelle: J. W. Goethe, J. B. Metzler, C. H. Beck</w:t>
      </w:r>
    </w:p>
    <w:p w:rsidR="00674228" w:rsidRPr="00736102" w:rsidRDefault="003C3D86" w:rsidP="00674228">
      <w:pPr>
        <w:numPr>
          <w:ilvl w:val="0"/>
          <w:numId w:val="7"/>
        </w:numPr>
        <w:rPr>
          <w:color w:val="333399"/>
        </w:rPr>
      </w:pPr>
      <w:r w:rsidRPr="00736102">
        <w:rPr>
          <w:color w:val="333399"/>
        </w:rPr>
        <w:t xml:space="preserve">Ebd., </w:t>
      </w:r>
      <w:r w:rsidR="00674228" w:rsidRPr="00736102">
        <w:rPr>
          <w:color w:val="333399"/>
        </w:rPr>
        <w:t>ebd. [=ebenda, in der zuletzt erwähnten Quelle]</w:t>
      </w:r>
    </w:p>
    <w:p w:rsidR="00674228" w:rsidRPr="00736102" w:rsidRDefault="00674228" w:rsidP="00674228">
      <w:pPr>
        <w:numPr>
          <w:ilvl w:val="0"/>
          <w:numId w:val="7"/>
        </w:numPr>
        <w:rPr>
          <w:color w:val="333399"/>
        </w:rPr>
      </w:pPr>
      <w:r w:rsidRPr="00736102">
        <w:rPr>
          <w:color w:val="333399"/>
        </w:rPr>
        <w:t>Frankfurt/M.</w:t>
      </w:r>
    </w:p>
    <w:p w:rsidR="00A90C36" w:rsidRPr="00736102" w:rsidRDefault="00A90C36" w:rsidP="00953181">
      <w:pPr>
        <w:autoSpaceDE w:val="0"/>
        <w:autoSpaceDN w:val="0"/>
        <w:adjustRightInd w:val="0"/>
        <w:jc w:val="both"/>
        <w:rPr>
          <w:rFonts w:ascii="TimesNewRoman,Bold" w:hAnsi="TimesNewRoman,Bold"/>
          <w:noProof w:val="0"/>
          <w:color w:val="333399"/>
        </w:rPr>
      </w:pPr>
    </w:p>
    <w:p w:rsidR="003223B0" w:rsidRPr="00736102" w:rsidRDefault="003223B0" w:rsidP="00953181">
      <w:pPr>
        <w:autoSpaceDE w:val="0"/>
        <w:autoSpaceDN w:val="0"/>
        <w:adjustRightInd w:val="0"/>
        <w:jc w:val="both"/>
        <w:rPr>
          <w:rFonts w:ascii="TimesNewRoman,Bold" w:hAnsi="TimesNewRoman,Bold"/>
          <w:noProof w:val="0"/>
          <w:color w:val="333399"/>
        </w:rPr>
      </w:pPr>
    </w:p>
    <w:p w:rsidR="00953181" w:rsidRPr="00736102" w:rsidRDefault="00DA143E" w:rsidP="00112880">
      <w:pPr>
        <w:pStyle w:val="Naslov1"/>
        <w:rPr>
          <w:color w:val="333399"/>
        </w:rPr>
      </w:pPr>
      <w:r w:rsidRPr="00736102">
        <w:rPr>
          <w:color w:val="333399"/>
        </w:rPr>
        <w:t>Zeichen</w:t>
      </w:r>
      <w:r w:rsidR="00AD22FA" w:rsidRPr="00736102">
        <w:rPr>
          <w:color w:val="333399"/>
        </w:rPr>
        <w:t>setzung, Zeichen</w:t>
      </w:r>
      <w:r w:rsidRPr="00736102">
        <w:rPr>
          <w:color w:val="333399"/>
        </w:rPr>
        <w:t>typen</w:t>
      </w:r>
    </w:p>
    <w:p w:rsidR="003C098C" w:rsidRPr="00736102" w:rsidRDefault="003C098C" w:rsidP="003C098C">
      <w:pPr>
        <w:rPr>
          <w:color w:val="333399"/>
        </w:rPr>
      </w:pPr>
    </w:p>
    <w:p w:rsidR="00193DA9" w:rsidRPr="00736102" w:rsidRDefault="00AD22FA" w:rsidP="00AD22FA">
      <w:pPr>
        <w:numPr>
          <w:ilvl w:val="0"/>
          <w:numId w:val="6"/>
        </w:numPr>
        <w:rPr>
          <w:rFonts w:ascii="TimesNewRoman,Bold" w:hAnsi="TimesNewRoman,Bold"/>
          <w:noProof w:val="0"/>
          <w:color w:val="333399"/>
        </w:rPr>
      </w:pPr>
      <w:r w:rsidRPr="00952BF1">
        <w:rPr>
          <w:color w:val="333399"/>
          <w:u w:val="single"/>
        </w:rPr>
        <w:t>kurzer Strich</w:t>
      </w:r>
      <w:r w:rsidRPr="00736102">
        <w:rPr>
          <w:color w:val="333399"/>
        </w:rPr>
        <w:t xml:space="preserve"> nur als Bindestrich, allen anderen Zwecken dient der </w:t>
      </w:r>
      <w:r w:rsidRPr="00952BF1">
        <w:rPr>
          <w:color w:val="333399"/>
          <w:u w:val="single"/>
        </w:rPr>
        <w:t>längere Strich</w:t>
      </w:r>
      <w:r w:rsidRPr="00736102">
        <w:rPr>
          <w:color w:val="333399"/>
        </w:rPr>
        <w:t>, z.B.:</w:t>
      </w:r>
    </w:p>
    <w:p w:rsidR="00C358A6" w:rsidRPr="00736102" w:rsidRDefault="00C358A6" w:rsidP="00193DA9">
      <w:pPr>
        <w:ind w:firstLine="708"/>
        <w:rPr>
          <w:color w:val="333399"/>
        </w:rPr>
      </w:pPr>
      <w:r w:rsidRPr="00736102">
        <w:rPr>
          <w:color w:val="333399"/>
        </w:rPr>
        <w:t>Österreich-Ungarn</w:t>
      </w:r>
    </w:p>
    <w:p w:rsidR="00193DA9" w:rsidRPr="00736102" w:rsidRDefault="005C5A59" w:rsidP="00193DA9">
      <w:pPr>
        <w:ind w:firstLine="708"/>
        <w:rPr>
          <w:rFonts w:ascii="TimesNewRoman,Bold" w:hAnsi="TimesNewRoman,Bold"/>
          <w:noProof w:val="0"/>
          <w:color w:val="333399"/>
        </w:rPr>
      </w:pPr>
      <w:r w:rsidRPr="00736102">
        <w:rPr>
          <w:color w:val="333399"/>
        </w:rPr>
        <w:t>Unfall-Versicherung</w:t>
      </w:r>
    </w:p>
    <w:p w:rsidR="00C358A6" w:rsidRPr="00736102" w:rsidRDefault="00AD22FA" w:rsidP="00060DB2">
      <w:pPr>
        <w:ind w:left="708" w:firstLine="708"/>
        <w:rPr>
          <w:rFonts w:ascii="TimesNewRoman,Bold" w:hAnsi="TimesNewRoman,Bold"/>
          <w:noProof w:val="0"/>
          <w:color w:val="333399"/>
        </w:rPr>
      </w:pPr>
      <w:r w:rsidRPr="00736102">
        <w:rPr>
          <w:rFonts w:ascii="TimesNewRoman,Bold" w:hAnsi="TimesNewRoman,Bold"/>
          <w:noProof w:val="0"/>
          <w:color w:val="333399"/>
        </w:rPr>
        <w:t>S. 10–15</w:t>
      </w:r>
    </w:p>
    <w:p w:rsidR="00952BF1" w:rsidRDefault="00C358A6" w:rsidP="00060DB2">
      <w:pPr>
        <w:ind w:left="1416" w:firstLine="0"/>
        <w:rPr>
          <w:rFonts w:ascii="TimesNewRoman,Bold" w:hAnsi="TimesNewRoman,Bold"/>
          <w:noProof w:val="0"/>
          <w:color w:val="333399"/>
        </w:rPr>
      </w:pPr>
      <w:r w:rsidRPr="00736102">
        <w:rPr>
          <w:rFonts w:ascii="TimesNewRoman,Bold" w:hAnsi="TimesNewRoman,Bold"/>
          <w:noProof w:val="0"/>
          <w:color w:val="333399"/>
        </w:rPr>
        <w:t>1968–2008</w:t>
      </w:r>
    </w:p>
    <w:p w:rsidR="00952BF1" w:rsidRPr="00952BF1" w:rsidRDefault="00952BF1" w:rsidP="00952BF1">
      <w:pPr>
        <w:numPr>
          <w:ilvl w:val="0"/>
          <w:numId w:val="6"/>
        </w:numPr>
        <w:rPr>
          <w:color w:val="333399"/>
          <w:sz w:val="16"/>
          <w:szCs w:val="16"/>
        </w:rPr>
      </w:pPr>
      <w:r w:rsidRPr="00952BF1">
        <w:rPr>
          <w:color w:val="333399"/>
          <w:u w:val="single"/>
        </w:rPr>
        <w:t>Schrägstrich</w:t>
      </w:r>
      <w:r>
        <w:rPr>
          <w:color w:val="333399"/>
        </w:rPr>
        <w:t xml:space="preserve"> – </w:t>
      </w:r>
      <w:r w:rsidR="00DB5E65">
        <w:rPr>
          <w:color w:val="333399"/>
        </w:rPr>
        <w:t xml:space="preserve">im Prinzip </w:t>
      </w:r>
      <w:r w:rsidR="00DB5E65" w:rsidRPr="006562E0">
        <w:rPr>
          <w:color w:val="333399"/>
          <w:u w:val="single"/>
        </w:rPr>
        <w:t>ohne</w:t>
      </w:r>
      <w:r w:rsidR="00DB5E65">
        <w:rPr>
          <w:color w:val="333399"/>
        </w:rPr>
        <w:t xml:space="preserve"> </w:t>
      </w:r>
      <w:r>
        <w:rPr>
          <w:color w:val="333399"/>
        </w:rPr>
        <w:t xml:space="preserve">Leerzeichen </w:t>
      </w:r>
      <w:r w:rsidR="00EF5C6F">
        <w:rPr>
          <w:color w:val="333399"/>
        </w:rPr>
        <w:t>davor und danach</w:t>
      </w:r>
      <w:r w:rsidR="00DB5E65">
        <w:rPr>
          <w:color w:val="333399"/>
        </w:rPr>
        <w:t xml:space="preserve">; </w:t>
      </w:r>
      <w:r w:rsidR="00DB5E65" w:rsidRPr="00DB5E65">
        <w:rPr>
          <w:color w:val="333399"/>
          <w:u w:val="single"/>
        </w:rPr>
        <w:t>mit</w:t>
      </w:r>
      <w:r w:rsidR="00DB5E65">
        <w:rPr>
          <w:color w:val="333399"/>
        </w:rPr>
        <w:t xml:space="preserve"> Leerzeichen </w:t>
      </w:r>
      <w:r w:rsidR="00DB5E65" w:rsidRPr="006562E0">
        <w:rPr>
          <w:color w:val="333399"/>
        </w:rPr>
        <w:t>nur</w:t>
      </w:r>
      <w:r w:rsidR="00DB5E65">
        <w:rPr>
          <w:color w:val="333399"/>
        </w:rPr>
        <w:t xml:space="preserve"> </w:t>
      </w:r>
      <w:r>
        <w:rPr>
          <w:color w:val="333399"/>
        </w:rPr>
        <w:t>in den folgenden Fällen</w:t>
      </w:r>
      <w:r w:rsidR="00BC544C">
        <w:rPr>
          <w:color w:val="333399"/>
        </w:rPr>
        <w:t xml:space="preserve"> (der Lesbarkeit wegen</w:t>
      </w:r>
      <w:r w:rsidR="00DB5E65">
        <w:rPr>
          <w:color w:val="333399"/>
        </w:rPr>
        <w:t>):</w:t>
      </w:r>
    </w:p>
    <w:p w:rsidR="00952BF1" w:rsidRDefault="00952BF1" w:rsidP="00952BF1">
      <w:pPr>
        <w:numPr>
          <w:ilvl w:val="1"/>
          <w:numId w:val="20"/>
        </w:numPr>
        <w:rPr>
          <w:color w:val="333399"/>
          <w:sz w:val="16"/>
          <w:szCs w:val="16"/>
        </w:rPr>
      </w:pPr>
      <w:r>
        <w:rPr>
          <w:color w:val="333399"/>
          <w:sz w:val="16"/>
          <w:szCs w:val="16"/>
        </w:rPr>
        <w:t>Gedichtzeilen im Fließtext</w:t>
      </w:r>
      <w:r w:rsidR="001105E9">
        <w:rPr>
          <w:color w:val="333399"/>
          <w:sz w:val="16"/>
          <w:szCs w:val="16"/>
        </w:rPr>
        <w:t xml:space="preserve"> (»Habe nun, ach! Philosophie, / Juristerei und Medizin, /«)</w:t>
      </w:r>
    </w:p>
    <w:p w:rsidR="00BC544C" w:rsidRPr="00952BF1" w:rsidRDefault="00BC544C" w:rsidP="00952BF1">
      <w:pPr>
        <w:numPr>
          <w:ilvl w:val="1"/>
          <w:numId w:val="20"/>
        </w:numPr>
        <w:rPr>
          <w:color w:val="333399"/>
          <w:sz w:val="16"/>
          <w:szCs w:val="16"/>
        </w:rPr>
      </w:pPr>
      <w:r>
        <w:rPr>
          <w:color w:val="333399"/>
          <w:sz w:val="16"/>
          <w:szCs w:val="16"/>
        </w:rPr>
        <w:t>längere Einwortserien (Buche / Eiche / Esche / Tanne) oder Mehrwortgruppen (</w:t>
      </w:r>
      <w:r w:rsidR="00180EA5">
        <w:rPr>
          <w:color w:val="333399"/>
          <w:sz w:val="16"/>
          <w:szCs w:val="16"/>
        </w:rPr>
        <w:t>Milka Car</w:t>
      </w:r>
      <w:r w:rsidR="00C01225">
        <w:rPr>
          <w:color w:val="333399"/>
          <w:sz w:val="16"/>
          <w:szCs w:val="16"/>
        </w:rPr>
        <w:t xml:space="preserve"> / Jelena Spreicer</w:t>
      </w:r>
      <w:r w:rsidR="00180EA5">
        <w:rPr>
          <w:color w:val="333399"/>
          <w:sz w:val="16"/>
          <w:szCs w:val="16"/>
        </w:rPr>
        <w:t>)</w:t>
      </w:r>
    </w:p>
    <w:p w:rsidR="00952BF1" w:rsidRPr="00952BF1" w:rsidRDefault="00952BF1" w:rsidP="00952BF1">
      <w:pPr>
        <w:numPr>
          <w:ilvl w:val="0"/>
          <w:numId w:val="6"/>
        </w:numPr>
        <w:rPr>
          <w:color w:val="333399"/>
        </w:rPr>
      </w:pPr>
      <w:r w:rsidRPr="00952BF1">
        <w:rPr>
          <w:color w:val="333399"/>
          <w:u w:val="single"/>
        </w:rPr>
        <w:t>Apostroph</w:t>
      </w:r>
      <w:r w:rsidRPr="0064767F">
        <w:rPr>
          <w:color w:val="333399"/>
        </w:rPr>
        <w:t xml:space="preserve">: l’art pour l’art, Grass’ </w:t>
      </w:r>
      <w:r w:rsidRPr="0064767F">
        <w:rPr>
          <w:i/>
          <w:color w:val="333399"/>
        </w:rPr>
        <w:t>Blechtrommel</w:t>
      </w:r>
      <w:r w:rsidRPr="0064767F">
        <w:rPr>
          <w:color w:val="333399"/>
        </w:rPr>
        <w:t>, James Joyce’s Roman, die Grimm’schen M</w:t>
      </w:r>
      <w:r w:rsidRPr="00736102">
        <w:rPr>
          <w:color w:val="333399"/>
        </w:rPr>
        <w:t>ärchen (oder: die grimmschen Märchen)</w:t>
      </w:r>
    </w:p>
    <w:p w:rsidR="005C5A59" w:rsidRPr="00736102" w:rsidRDefault="00AD22FA" w:rsidP="001B55DE">
      <w:pPr>
        <w:numPr>
          <w:ilvl w:val="0"/>
          <w:numId w:val="6"/>
        </w:numPr>
        <w:autoSpaceDE w:val="0"/>
        <w:autoSpaceDN w:val="0"/>
        <w:adjustRightInd w:val="0"/>
        <w:rPr>
          <w:rFonts w:ascii="TimesNewRoman,Bold" w:hAnsi="TimesNewRoman,Bold"/>
          <w:noProof w:val="0"/>
          <w:color w:val="333399"/>
        </w:rPr>
      </w:pPr>
      <w:r w:rsidRPr="00952BF1">
        <w:rPr>
          <w:rFonts w:ascii="TimesNewRoman,Bold" w:hAnsi="TimesNewRoman,Bold"/>
          <w:noProof w:val="0"/>
          <w:color w:val="333399"/>
          <w:u w:val="single"/>
        </w:rPr>
        <w:t>Nr. der Anmerkung</w:t>
      </w:r>
      <w:r w:rsidRPr="00736102">
        <w:rPr>
          <w:rFonts w:ascii="TimesNewRoman,Bold" w:hAnsi="TimesNewRoman,Bold"/>
          <w:noProof w:val="0"/>
          <w:color w:val="333399"/>
        </w:rPr>
        <w:t xml:space="preserve">, die sich auf einen </w:t>
      </w:r>
      <w:r w:rsidR="00482E46" w:rsidRPr="00736102">
        <w:rPr>
          <w:rFonts w:ascii="TimesNewRoman,Bold" w:hAnsi="TimesNewRoman,Bold"/>
          <w:noProof w:val="0"/>
          <w:color w:val="333399"/>
        </w:rPr>
        <w:t xml:space="preserve">ganzen </w:t>
      </w:r>
      <w:r w:rsidRPr="00736102">
        <w:rPr>
          <w:rFonts w:ascii="TimesNewRoman,Bold" w:hAnsi="TimesNewRoman,Bold"/>
          <w:noProof w:val="0"/>
          <w:color w:val="333399"/>
        </w:rPr>
        <w:t>Satz</w:t>
      </w:r>
      <w:r w:rsidR="00482E46" w:rsidRPr="00736102">
        <w:rPr>
          <w:rFonts w:ascii="TimesNewRoman,Bold" w:hAnsi="TimesNewRoman,Bold"/>
          <w:noProof w:val="0"/>
          <w:color w:val="333399"/>
        </w:rPr>
        <w:t>,</w:t>
      </w:r>
      <w:r w:rsidRPr="00736102">
        <w:rPr>
          <w:rFonts w:ascii="TimesNewRoman,Bold" w:hAnsi="TimesNewRoman,Bold"/>
          <w:noProof w:val="0"/>
          <w:color w:val="333399"/>
        </w:rPr>
        <w:t xml:space="preserve"> </w:t>
      </w:r>
      <w:r w:rsidR="00482E46" w:rsidRPr="00736102">
        <w:rPr>
          <w:rFonts w:ascii="TimesNewRoman,Bold" w:hAnsi="TimesNewRoman,Bold"/>
          <w:noProof w:val="0"/>
          <w:color w:val="333399"/>
        </w:rPr>
        <w:t xml:space="preserve">einen Teilsatz </w:t>
      </w:r>
      <w:r w:rsidR="005C5A59" w:rsidRPr="00736102">
        <w:rPr>
          <w:rFonts w:ascii="TimesNewRoman,Bold" w:hAnsi="TimesNewRoman,Bold"/>
          <w:noProof w:val="0"/>
          <w:color w:val="333399"/>
        </w:rPr>
        <w:t>oder auf ein Wort</w:t>
      </w:r>
      <w:r w:rsidR="00482E46" w:rsidRPr="00736102">
        <w:rPr>
          <w:rFonts w:ascii="TimesNewRoman,Bold" w:hAnsi="TimesNewRoman,Bold"/>
          <w:noProof w:val="0"/>
          <w:color w:val="333399"/>
        </w:rPr>
        <w:t>/Syntagma</w:t>
      </w:r>
      <w:r w:rsidR="005C5A59" w:rsidRPr="00736102">
        <w:rPr>
          <w:rFonts w:ascii="TimesNewRoman,Bold" w:hAnsi="TimesNewRoman,Bold"/>
          <w:noProof w:val="0"/>
          <w:color w:val="333399"/>
        </w:rPr>
        <w:t xml:space="preserve"> am Ende des </w:t>
      </w:r>
      <w:r w:rsidR="00482E46" w:rsidRPr="00736102">
        <w:rPr>
          <w:rFonts w:ascii="TimesNewRoman,Bold" w:hAnsi="TimesNewRoman,Bold"/>
          <w:noProof w:val="0"/>
          <w:color w:val="333399"/>
        </w:rPr>
        <w:t>(Teil-)</w:t>
      </w:r>
      <w:r w:rsidR="005C5A59" w:rsidRPr="00736102">
        <w:rPr>
          <w:rFonts w:ascii="TimesNewRoman,Bold" w:hAnsi="TimesNewRoman,Bold"/>
          <w:noProof w:val="0"/>
          <w:color w:val="333399"/>
        </w:rPr>
        <w:t>Satzes</w:t>
      </w:r>
      <w:r w:rsidR="00482E46" w:rsidRPr="00736102">
        <w:rPr>
          <w:rFonts w:ascii="TimesNewRoman,Bold" w:hAnsi="TimesNewRoman,Bold"/>
          <w:noProof w:val="0"/>
          <w:color w:val="333399"/>
        </w:rPr>
        <w:t xml:space="preserve"> bezieht</w:t>
      </w:r>
      <w:r w:rsidR="005C5A59" w:rsidRPr="00736102">
        <w:rPr>
          <w:rFonts w:ascii="TimesNewRoman,Bold" w:hAnsi="TimesNewRoman,Bold"/>
          <w:noProof w:val="0"/>
          <w:color w:val="333399"/>
        </w:rPr>
        <w:t xml:space="preserve"> – </w:t>
      </w:r>
      <w:r w:rsidRPr="00736102">
        <w:rPr>
          <w:rFonts w:ascii="TimesNewRoman,Bold" w:hAnsi="TimesNewRoman,Bold"/>
          <w:noProof w:val="0"/>
          <w:color w:val="333399"/>
        </w:rPr>
        <w:t xml:space="preserve">jeweils </w:t>
      </w:r>
      <w:r w:rsidRPr="00736102">
        <w:rPr>
          <w:rFonts w:ascii="TimesNewRoman,Bold" w:hAnsi="TimesNewRoman,Bold"/>
          <w:i/>
          <w:noProof w:val="0"/>
          <w:color w:val="333399"/>
        </w:rPr>
        <w:t>nach</w:t>
      </w:r>
      <w:r w:rsidRPr="00736102">
        <w:rPr>
          <w:rFonts w:ascii="TimesNewRoman,Bold" w:hAnsi="TimesNewRoman,Bold"/>
          <w:noProof w:val="0"/>
          <w:color w:val="333399"/>
        </w:rPr>
        <w:t xml:space="preserve"> dem letzten Interpunktionszeichen</w:t>
      </w:r>
      <w:r w:rsidR="005C5A59" w:rsidRPr="00736102">
        <w:rPr>
          <w:rFonts w:ascii="TimesNewRoman,Bold" w:hAnsi="TimesNewRoman,Bold"/>
          <w:noProof w:val="0"/>
          <w:color w:val="333399"/>
        </w:rPr>
        <w:t xml:space="preserve"> setzten</w:t>
      </w:r>
      <w:r w:rsidR="007C26CA" w:rsidRPr="00736102">
        <w:rPr>
          <w:rFonts w:ascii="TimesNewRoman,Bold" w:hAnsi="TimesNewRoman,Bold"/>
          <w:noProof w:val="0"/>
          <w:color w:val="333399"/>
        </w:rPr>
        <w:t xml:space="preserve"> [also abweichend von der Duden-Regelung]:</w:t>
      </w:r>
    </w:p>
    <w:p w:rsidR="005C5A59" w:rsidRPr="00736102" w:rsidRDefault="005C5A59" w:rsidP="000F636B">
      <w:pPr>
        <w:numPr>
          <w:ilvl w:val="1"/>
          <w:numId w:val="20"/>
        </w:numPr>
        <w:rPr>
          <w:color w:val="333399"/>
          <w:sz w:val="16"/>
          <w:szCs w:val="16"/>
        </w:rPr>
      </w:pPr>
      <w:r w:rsidRPr="00736102">
        <w:rPr>
          <w:color w:val="333399"/>
          <w:sz w:val="16"/>
          <w:szCs w:val="16"/>
        </w:rPr>
        <w:t>Dies sei eine Lüge (so der Autor wörtlich</w:t>
      </w:r>
      <w:r w:rsidRPr="00220D68">
        <w:rPr>
          <w:color w:val="333399"/>
          <w:sz w:val="16"/>
          <w:szCs w:val="16"/>
          <w:highlight w:val="green"/>
        </w:rPr>
        <w:t>).</w:t>
      </w:r>
      <w:r w:rsidRPr="00220D68">
        <w:rPr>
          <w:color w:val="333399"/>
          <w:sz w:val="16"/>
          <w:szCs w:val="16"/>
          <w:highlight w:val="green"/>
          <w:vertAlign w:val="superscript"/>
        </w:rPr>
        <w:t>1</w:t>
      </w:r>
    </w:p>
    <w:p w:rsidR="00953181" w:rsidRPr="00736102" w:rsidRDefault="00482E46" w:rsidP="000C7B53">
      <w:pPr>
        <w:numPr>
          <w:ilvl w:val="1"/>
          <w:numId w:val="20"/>
        </w:numPr>
        <w:rPr>
          <w:color w:val="333399"/>
          <w:sz w:val="16"/>
          <w:szCs w:val="16"/>
        </w:rPr>
      </w:pPr>
      <w:r w:rsidRPr="00736102">
        <w:rPr>
          <w:color w:val="333399"/>
          <w:sz w:val="16"/>
          <w:szCs w:val="16"/>
        </w:rPr>
        <w:t>D</w:t>
      </w:r>
      <w:r w:rsidR="00751E96" w:rsidRPr="00736102">
        <w:rPr>
          <w:color w:val="333399"/>
          <w:sz w:val="16"/>
          <w:szCs w:val="16"/>
        </w:rPr>
        <w:t>iese »</w:t>
      </w:r>
      <w:r w:rsidR="005C5A59" w:rsidRPr="00736102">
        <w:rPr>
          <w:color w:val="333399"/>
          <w:sz w:val="16"/>
          <w:szCs w:val="16"/>
        </w:rPr>
        <w:t>Kultur der Lüge</w:t>
      </w:r>
      <w:r w:rsidR="00751E96" w:rsidRPr="00220D68">
        <w:rPr>
          <w:color w:val="333399"/>
          <w:sz w:val="16"/>
          <w:szCs w:val="16"/>
          <w:highlight w:val="green"/>
        </w:rPr>
        <w:t>«</w:t>
      </w:r>
      <w:r w:rsidR="005C5A59" w:rsidRPr="00220D68">
        <w:rPr>
          <w:color w:val="333399"/>
          <w:sz w:val="16"/>
          <w:szCs w:val="16"/>
          <w:highlight w:val="green"/>
        </w:rPr>
        <w:t>,</w:t>
      </w:r>
      <w:r w:rsidR="005C5A59" w:rsidRPr="00220D68">
        <w:rPr>
          <w:color w:val="333399"/>
          <w:sz w:val="16"/>
          <w:szCs w:val="16"/>
          <w:highlight w:val="green"/>
          <w:vertAlign w:val="superscript"/>
        </w:rPr>
        <w:t>2</w:t>
      </w:r>
      <w:r w:rsidRPr="00736102">
        <w:rPr>
          <w:color w:val="333399"/>
          <w:sz w:val="16"/>
          <w:szCs w:val="16"/>
        </w:rPr>
        <w:t xml:space="preserve"> mit den Worten von Dubravka Ugrešić, </w:t>
      </w:r>
    </w:p>
    <w:p w:rsidR="00482E46" w:rsidRPr="00736102" w:rsidRDefault="00A74DAD" w:rsidP="000C7B53">
      <w:pPr>
        <w:numPr>
          <w:ilvl w:val="1"/>
          <w:numId w:val="20"/>
        </w:numPr>
        <w:rPr>
          <w:color w:val="333399"/>
          <w:sz w:val="16"/>
          <w:szCs w:val="16"/>
        </w:rPr>
      </w:pPr>
      <w:r w:rsidRPr="00736102">
        <w:rPr>
          <w:color w:val="333399"/>
          <w:sz w:val="16"/>
          <w:szCs w:val="16"/>
        </w:rPr>
        <w:t>aber:</w:t>
      </w:r>
      <w:r w:rsidRPr="00736102">
        <w:rPr>
          <w:color w:val="333399"/>
          <w:sz w:val="16"/>
          <w:szCs w:val="16"/>
        </w:rPr>
        <w:tab/>
      </w:r>
      <w:r w:rsidR="000C7B53" w:rsidRPr="00736102">
        <w:rPr>
          <w:color w:val="333399"/>
          <w:sz w:val="16"/>
          <w:szCs w:val="16"/>
        </w:rPr>
        <w:tab/>
      </w:r>
      <w:r w:rsidR="00751E96" w:rsidRPr="00736102">
        <w:rPr>
          <w:color w:val="333399"/>
          <w:sz w:val="16"/>
          <w:szCs w:val="16"/>
        </w:rPr>
        <w:t>Diese »</w:t>
      </w:r>
      <w:r w:rsidR="00482E46" w:rsidRPr="00736102">
        <w:rPr>
          <w:color w:val="333399"/>
          <w:sz w:val="16"/>
          <w:szCs w:val="16"/>
        </w:rPr>
        <w:t>Kultur der Lüge</w:t>
      </w:r>
      <w:r w:rsidR="00751E96" w:rsidRPr="00220D68">
        <w:rPr>
          <w:color w:val="333399"/>
          <w:sz w:val="16"/>
          <w:szCs w:val="16"/>
          <w:highlight w:val="green"/>
        </w:rPr>
        <w:t>«</w:t>
      </w:r>
      <w:r w:rsidR="00482E46" w:rsidRPr="00220D68">
        <w:rPr>
          <w:color w:val="333399"/>
          <w:sz w:val="16"/>
          <w:szCs w:val="16"/>
          <w:highlight w:val="green"/>
          <w:vertAlign w:val="superscript"/>
        </w:rPr>
        <w:t>2</w:t>
      </w:r>
      <w:r w:rsidR="00482E46" w:rsidRPr="00736102">
        <w:rPr>
          <w:color w:val="333399"/>
          <w:sz w:val="16"/>
          <w:szCs w:val="16"/>
        </w:rPr>
        <w:t xml:space="preserve"> </w:t>
      </w:r>
      <w:r w:rsidR="00F62CF2" w:rsidRPr="00736102">
        <w:rPr>
          <w:color w:val="333399"/>
          <w:sz w:val="16"/>
          <w:szCs w:val="16"/>
        </w:rPr>
        <w:t>ist weit verbreitet.</w:t>
      </w:r>
    </w:p>
    <w:p w:rsidR="00D37E76" w:rsidRPr="00736102" w:rsidRDefault="002C5DA7" w:rsidP="00D37E76">
      <w:pPr>
        <w:numPr>
          <w:ilvl w:val="0"/>
          <w:numId w:val="20"/>
        </w:numPr>
        <w:rPr>
          <w:color w:val="333399"/>
          <w:sz w:val="16"/>
          <w:szCs w:val="16"/>
        </w:rPr>
      </w:pPr>
      <w:r w:rsidRPr="00736102">
        <w:rPr>
          <w:color w:val="333399"/>
          <w:lang w:val="hr-HR"/>
        </w:rPr>
        <w:t xml:space="preserve">Wird ein </w:t>
      </w:r>
      <w:r w:rsidR="000C7B53" w:rsidRPr="00736102">
        <w:rPr>
          <w:color w:val="333399"/>
          <w:u w:val="single"/>
          <w:lang w:val="hr-HR"/>
        </w:rPr>
        <w:t>ganzer Satz</w:t>
      </w:r>
      <w:r w:rsidR="000C7B53" w:rsidRPr="00736102">
        <w:rPr>
          <w:color w:val="333399"/>
          <w:lang w:val="hr-HR"/>
        </w:rPr>
        <w:t xml:space="preserve"> oder ein </w:t>
      </w:r>
      <w:r w:rsidR="000C7B53" w:rsidRPr="00736102">
        <w:rPr>
          <w:color w:val="333399"/>
          <w:u w:val="single"/>
          <w:lang w:val="hr-HR"/>
        </w:rPr>
        <w:t>Satzanfang</w:t>
      </w:r>
      <w:r w:rsidR="000C7B53" w:rsidRPr="00736102">
        <w:rPr>
          <w:color w:val="333399"/>
          <w:lang w:val="hr-HR"/>
        </w:rPr>
        <w:t xml:space="preserve"> zitiert, </w:t>
      </w:r>
      <w:r w:rsidRPr="00736102">
        <w:rPr>
          <w:color w:val="333399"/>
          <w:lang w:val="hr-HR"/>
        </w:rPr>
        <w:t xml:space="preserve">ist das </w:t>
      </w:r>
      <w:r w:rsidR="00D37E76" w:rsidRPr="00736102">
        <w:rPr>
          <w:color w:val="333399"/>
          <w:lang w:val="hr-HR"/>
        </w:rPr>
        <w:t xml:space="preserve">Schlusszeichen </w:t>
      </w:r>
      <w:r w:rsidR="00D2038B" w:rsidRPr="00736102">
        <w:rPr>
          <w:color w:val="333399"/>
          <w:lang w:val="hr-HR"/>
        </w:rPr>
        <w:t>dieses Satzes</w:t>
      </w:r>
      <w:r w:rsidR="000C7B53" w:rsidRPr="00736102">
        <w:rPr>
          <w:color w:val="333399"/>
          <w:lang w:val="hr-HR"/>
        </w:rPr>
        <w:t xml:space="preserve"> in das Zitat</w:t>
      </w:r>
      <w:r w:rsidR="00D37E76" w:rsidRPr="00736102">
        <w:rPr>
          <w:color w:val="333399"/>
          <w:lang w:val="hr-HR"/>
        </w:rPr>
        <w:t xml:space="preserve"> ein</w:t>
      </w:r>
      <w:r w:rsidRPr="00736102">
        <w:rPr>
          <w:color w:val="333399"/>
          <w:lang w:val="hr-HR"/>
        </w:rPr>
        <w:t>zu</w:t>
      </w:r>
      <w:r w:rsidR="00D37E76" w:rsidRPr="00736102">
        <w:rPr>
          <w:color w:val="333399"/>
          <w:lang w:val="hr-HR"/>
        </w:rPr>
        <w:t>schließen</w:t>
      </w:r>
      <w:r w:rsidR="00D37E76" w:rsidRPr="00736102">
        <w:rPr>
          <w:color w:val="333399"/>
        </w:rPr>
        <w:t>:</w:t>
      </w:r>
    </w:p>
    <w:p w:rsidR="00D37E76" w:rsidRPr="00736102" w:rsidRDefault="00226659" w:rsidP="002C5DA7">
      <w:pPr>
        <w:numPr>
          <w:ilvl w:val="1"/>
          <w:numId w:val="20"/>
        </w:numPr>
        <w:rPr>
          <w:color w:val="333399"/>
          <w:sz w:val="16"/>
          <w:szCs w:val="16"/>
        </w:rPr>
      </w:pPr>
      <w:r w:rsidRPr="00736102">
        <w:rPr>
          <w:color w:val="333399"/>
          <w:sz w:val="16"/>
          <w:szCs w:val="16"/>
        </w:rPr>
        <w:t>Der</w:t>
      </w:r>
      <w:r w:rsidR="002C5DA7" w:rsidRPr="00736102">
        <w:rPr>
          <w:color w:val="333399"/>
          <w:sz w:val="16"/>
          <w:szCs w:val="16"/>
        </w:rPr>
        <w:t xml:space="preserve"> </w:t>
      </w:r>
      <w:r w:rsidR="00D37E76" w:rsidRPr="00736102">
        <w:rPr>
          <w:color w:val="333399"/>
          <w:sz w:val="16"/>
          <w:szCs w:val="16"/>
        </w:rPr>
        <w:t>Ps</w:t>
      </w:r>
      <w:r w:rsidR="002C5DA7" w:rsidRPr="00736102">
        <w:rPr>
          <w:color w:val="333399"/>
          <w:sz w:val="16"/>
          <w:szCs w:val="16"/>
        </w:rPr>
        <w:t>ychoanalytiker Zichroni</w:t>
      </w:r>
      <w:r w:rsidRPr="00736102">
        <w:rPr>
          <w:color w:val="333399"/>
          <w:sz w:val="16"/>
          <w:szCs w:val="16"/>
        </w:rPr>
        <w:t xml:space="preserve"> bekennt</w:t>
      </w:r>
      <w:r w:rsidR="00751E96" w:rsidRPr="00736102">
        <w:rPr>
          <w:color w:val="333399"/>
          <w:sz w:val="16"/>
          <w:szCs w:val="16"/>
        </w:rPr>
        <w:t>: »</w:t>
      </w:r>
      <w:r w:rsidR="00D37E76" w:rsidRPr="00736102">
        <w:rPr>
          <w:color w:val="333399"/>
          <w:sz w:val="16"/>
          <w:szCs w:val="16"/>
        </w:rPr>
        <w:t>Ich bin, woran ich mich erinnere. Etwas</w:t>
      </w:r>
    </w:p>
    <w:p w:rsidR="002C5DA7" w:rsidRPr="00736102" w:rsidRDefault="00D37E76" w:rsidP="00D37E76">
      <w:pPr>
        <w:ind w:firstLine="0"/>
        <w:rPr>
          <w:color w:val="333399"/>
          <w:sz w:val="16"/>
          <w:szCs w:val="16"/>
        </w:rPr>
      </w:pPr>
      <w:r w:rsidRPr="00736102">
        <w:rPr>
          <w:color w:val="333399"/>
          <w:sz w:val="16"/>
          <w:szCs w:val="16"/>
        </w:rPr>
        <w:tab/>
        <w:t>anderes habe ich nicht</w:t>
      </w:r>
      <w:r w:rsidRPr="00220D68">
        <w:rPr>
          <w:color w:val="333399"/>
          <w:sz w:val="16"/>
          <w:szCs w:val="16"/>
          <w:highlight w:val="green"/>
        </w:rPr>
        <w:t>.</w:t>
      </w:r>
      <w:r w:rsidR="00751E96" w:rsidRPr="00220D68">
        <w:rPr>
          <w:color w:val="333399"/>
          <w:sz w:val="16"/>
          <w:szCs w:val="16"/>
          <w:highlight w:val="green"/>
        </w:rPr>
        <w:t>«</w:t>
      </w:r>
      <w:r w:rsidRPr="00736102">
        <w:rPr>
          <w:color w:val="333399"/>
          <w:sz w:val="16"/>
          <w:szCs w:val="16"/>
        </w:rPr>
        <w:t xml:space="preserve"> (W, S. 121) </w:t>
      </w:r>
      <w:r w:rsidR="002C5DA7" w:rsidRPr="00736102">
        <w:rPr>
          <w:color w:val="333399"/>
          <w:sz w:val="16"/>
          <w:szCs w:val="16"/>
        </w:rPr>
        <w:t>Diese</w:t>
      </w:r>
      <w:r w:rsidR="002C0868" w:rsidRPr="00736102">
        <w:rPr>
          <w:color w:val="333399"/>
          <w:sz w:val="16"/>
          <w:szCs w:val="16"/>
        </w:rPr>
        <w:t>s Bekenntnis</w:t>
      </w:r>
      <w:r w:rsidR="00226659" w:rsidRPr="00736102">
        <w:rPr>
          <w:color w:val="333399"/>
          <w:sz w:val="16"/>
          <w:szCs w:val="16"/>
        </w:rPr>
        <w:t>...</w:t>
      </w:r>
    </w:p>
    <w:p w:rsidR="00D37E76" w:rsidRPr="00736102" w:rsidRDefault="00751E96" w:rsidP="00D37E76">
      <w:pPr>
        <w:numPr>
          <w:ilvl w:val="1"/>
          <w:numId w:val="20"/>
        </w:numPr>
        <w:rPr>
          <w:color w:val="333399"/>
          <w:sz w:val="16"/>
          <w:szCs w:val="16"/>
        </w:rPr>
      </w:pPr>
      <w:r w:rsidRPr="00736102">
        <w:rPr>
          <w:color w:val="333399"/>
          <w:sz w:val="16"/>
          <w:szCs w:val="16"/>
        </w:rPr>
        <w:t>Dort heißt es: »</w:t>
      </w:r>
      <w:r w:rsidR="002C5DA7" w:rsidRPr="00736102">
        <w:rPr>
          <w:color w:val="333399"/>
          <w:sz w:val="16"/>
          <w:szCs w:val="16"/>
        </w:rPr>
        <w:t>Im Anfang war das Wort [...]</w:t>
      </w:r>
      <w:r w:rsidR="002C5DA7" w:rsidRPr="00220D68">
        <w:rPr>
          <w:color w:val="333399"/>
          <w:sz w:val="16"/>
          <w:szCs w:val="16"/>
          <w:highlight w:val="green"/>
        </w:rPr>
        <w:t>.</w:t>
      </w:r>
      <w:r w:rsidRPr="00220D68">
        <w:rPr>
          <w:color w:val="333399"/>
          <w:sz w:val="16"/>
          <w:szCs w:val="16"/>
          <w:highlight w:val="green"/>
        </w:rPr>
        <w:t>«</w:t>
      </w:r>
      <w:r w:rsidR="002C5DA7" w:rsidRPr="00220D68">
        <w:rPr>
          <w:color w:val="333399"/>
          <w:sz w:val="16"/>
          <w:szCs w:val="16"/>
          <w:highlight w:val="green"/>
          <w:vertAlign w:val="superscript"/>
        </w:rPr>
        <w:t>25</w:t>
      </w:r>
    </w:p>
    <w:p w:rsidR="00D37E76" w:rsidRPr="00736102" w:rsidRDefault="00D37E76" w:rsidP="00112880">
      <w:pPr>
        <w:numPr>
          <w:ilvl w:val="0"/>
          <w:numId w:val="6"/>
        </w:numPr>
        <w:rPr>
          <w:color w:val="333399"/>
        </w:rPr>
      </w:pPr>
      <w:r w:rsidRPr="00736102">
        <w:rPr>
          <w:color w:val="333399"/>
        </w:rPr>
        <w:t xml:space="preserve">Bei </w:t>
      </w:r>
      <w:r w:rsidRPr="00736102">
        <w:rPr>
          <w:color w:val="333399"/>
          <w:lang w:val="hr-HR"/>
        </w:rPr>
        <w:t xml:space="preserve">zitierten </w:t>
      </w:r>
      <w:r w:rsidR="002C5DA7" w:rsidRPr="00736102">
        <w:rPr>
          <w:color w:val="333399"/>
          <w:u w:val="single"/>
          <w:lang w:val="hr-HR"/>
        </w:rPr>
        <w:t>Syntagmen</w:t>
      </w:r>
      <w:r w:rsidR="002C5DA7" w:rsidRPr="00736102">
        <w:rPr>
          <w:color w:val="333399"/>
          <w:lang w:val="hr-HR"/>
        </w:rPr>
        <w:t xml:space="preserve"> und </w:t>
      </w:r>
      <w:r w:rsidRPr="00736102">
        <w:rPr>
          <w:color w:val="333399"/>
          <w:u w:val="single"/>
          <w:lang w:val="hr-HR"/>
        </w:rPr>
        <w:t>Satzteilen</w:t>
      </w:r>
      <w:r w:rsidRPr="00736102">
        <w:rPr>
          <w:color w:val="333399"/>
          <w:lang w:val="hr-HR"/>
        </w:rPr>
        <w:t xml:space="preserve"> </w:t>
      </w:r>
      <w:r w:rsidR="000C7B53" w:rsidRPr="00736102">
        <w:rPr>
          <w:color w:val="333399"/>
          <w:lang w:val="hr-HR"/>
        </w:rPr>
        <w:t xml:space="preserve">gehört </w:t>
      </w:r>
      <w:r w:rsidRPr="00736102">
        <w:rPr>
          <w:color w:val="333399"/>
          <w:lang w:val="hr-HR"/>
        </w:rPr>
        <w:t xml:space="preserve">das Schlusszeichen </w:t>
      </w:r>
      <w:r w:rsidR="000C7B53" w:rsidRPr="00736102">
        <w:rPr>
          <w:color w:val="333399"/>
          <w:lang w:val="hr-HR"/>
        </w:rPr>
        <w:t xml:space="preserve">des zitierten Satzes </w:t>
      </w:r>
      <w:r w:rsidRPr="00736102">
        <w:rPr>
          <w:i/>
          <w:color w:val="333399"/>
          <w:lang w:val="hr-HR"/>
        </w:rPr>
        <w:t>nicht</w:t>
      </w:r>
      <w:r w:rsidRPr="00736102">
        <w:rPr>
          <w:color w:val="333399"/>
          <w:lang w:val="hr-HR"/>
        </w:rPr>
        <w:t xml:space="preserve"> </w:t>
      </w:r>
      <w:r w:rsidR="000C7B53" w:rsidRPr="00736102">
        <w:rPr>
          <w:color w:val="333399"/>
          <w:lang w:val="hr-HR"/>
        </w:rPr>
        <w:t>zum Zitat</w:t>
      </w:r>
      <w:r w:rsidRPr="00736102">
        <w:rPr>
          <w:color w:val="333399"/>
          <w:lang w:val="hr-HR"/>
        </w:rPr>
        <w:t>:</w:t>
      </w:r>
    </w:p>
    <w:p w:rsidR="002C0868" w:rsidRPr="00736102" w:rsidRDefault="002C0868" w:rsidP="00D37E76">
      <w:pPr>
        <w:numPr>
          <w:ilvl w:val="1"/>
          <w:numId w:val="20"/>
        </w:numPr>
        <w:rPr>
          <w:color w:val="333399"/>
          <w:sz w:val="16"/>
          <w:szCs w:val="16"/>
        </w:rPr>
      </w:pPr>
      <w:r w:rsidRPr="00736102">
        <w:rPr>
          <w:color w:val="333399"/>
          <w:sz w:val="16"/>
          <w:szCs w:val="16"/>
        </w:rPr>
        <w:t>Erinnerungen gehören</w:t>
      </w:r>
      <w:r w:rsidR="00D37E76" w:rsidRPr="00736102">
        <w:rPr>
          <w:color w:val="333399"/>
          <w:sz w:val="16"/>
          <w:szCs w:val="16"/>
        </w:rPr>
        <w:t xml:space="preserve"> </w:t>
      </w:r>
      <w:r w:rsidR="00751E96" w:rsidRPr="00736102">
        <w:rPr>
          <w:color w:val="333399"/>
          <w:sz w:val="16"/>
          <w:szCs w:val="16"/>
        </w:rPr>
        <w:t>»</w:t>
      </w:r>
      <w:r w:rsidRPr="00736102">
        <w:rPr>
          <w:color w:val="333399"/>
          <w:sz w:val="16"/>
          <w:szCs w:val="16"/>
        </w:rPr>
        <w:t>zum Unzuverlässigsten [...</w:t>
      </w:r>
      <w:r w:rsidR="00D37E76" w:rsidRPr="00736102">
        <w:rPr>
          <w:color w:val="333399"/>
          <w:sz w:val="16"/>
          <w:szCs w:val="16"/>
        </w:rPr>
        <w:t>], was ein Mensch besitzt</w:t>
      </w:r>
      <w:r w:rsidR="00751E96" w:rsidRPr="00220D68">
        <w:rPr>
          <w:color w:val="333399"/>
          <w:sz w:val="16"/>
          <w:szCs w:val="16"/>
          <w:highlight w:val="green"/>
        </w:rPr>
        <w:t>«</w:t>
      </w:r>
      <w:r w:rsidR="00D37E76" w:rsidRPr="00220D68">
        <w:rPr>
          <w:color w:val="333399"/>
          <w:sz w:val="16"/>
          <w:szCs w:val="16"/>
          <w:highlight w:val="green"/>
        </w:rPr>
        <w:t>.</w:t>
      </w:r>
      <w:r w:rsidR="00D37E76" w:rsidRPr="00220D68">
        <w:rPr>
          <w:color w:val="333399"/>
          <w:sz w:val="16"/>
          <w:szCs w:val="16"/>
          <w:highlight w:val="green"/>
          <w:vertAlign w:val="superscript"/>
        </w:rPr>
        <w:t>13</w:t>
      </w:r>
    </w:p>
    <w:p w:rsidR="002C0868" w:rsidRPr="00736102" w:rsidRDefault="002C0868" w:rsidP="002C0868">
      <w:pPr>
        <w:numPr>
          <w:ilvl w:val="1"/>
          <w:numId w:val="20"/>
        </w:numPr>
        <w:rPr>
          <w:color w:val="333399"/>
          <w:sz w:val="16"/>
          <w:szCs w:val="16"/>
        </w:rPr>
      </w:pPr>
      <w:r w:rsidRPr="00736102">
        <w:rPr>
          <w:color w:val="333399"/>
          <w:sz w:val="16"/>
          <w:szCs w:val="16"/>
        </w:rPr>
        <w:t xml:space="preserve">Ohne Konzept kein Projekt, </w:t>
      </w:r>
      <w:r w:rsidR="00751E96" w:rsidRPr="00736102">
        <w:rPr>
          <w:color w:val="333399"/>
          <w:sz w:val="16"/>
          <w:szCs w:val="16"/>
        </w:rPr>
        <w:t>denn »</w:t>
      </w:r>
      <w:r w:rsidRPr="00736102">
        <w:rPr>
          <w:color w:val="333399"/>
          <w:sz w:val="16"/>
          <w:szCs w:val="16"/>
        </w:rPr>
        <w:t>[i]m Anfang war das Wort</w:t>
      </w:r>
      <w:r w:rsidR="00751E96" w:rsidRPr="00220D68">
        <w:rPr>
          <w:color w:val="333399"/>
          <w:sz w:val="16"/>
          <w:szCs w:val="16"/>
          <w:highlight w:val="green"/>
        </w:rPr>
        <w:t>«</w:t>
      </w:r>
      <w:r w:rsidRPr="00220D68">
        <w:rPr>
          <w:color w:val="333399"/>
          <w:sz w:val="16"/>
          <w:szCs w:val="16"/>
          <w:highlight w:val="green"/>
        </w:rPr>
        <w:t>.</w:t>
      </w:r>
      <w:r w:rsidRPr="00220D68">
        <w:rPr>
          <w:color w:val="333399"/>
          <w:sz w:val="16"/>
          <w:szCs w:val="16"/>
          <w:highlight w:val="green"/>
          <w:vertAlign w:val="superscript"/>
        </w:rPr>
        <w:t>6</w:t>
      </w:r>
    </w:p>
    <w:p w:rsidR="00952BF1" w:rsidRPr="0064767F" w:rsidRDefault="00952BF1" w:rsidP="00952BF1">
      <w:pPr>
        <w:ind w:left="360" w:firstLine="0"/>
        <w:rPr>
          <w:color w:val="333399"/>
        </w:rPr>
      </w:pPr>
    </w:p>
    <w:sectPr w:rsidR="00952BF1" w:rsidRPr="0064767F" w:rsidSect="006A4CFE">
      <w:footerReference w:type="even" r:id="rId10"/>
      <w:footerReference w:type="default" r:id="rId11"/>
      <w:pgSz w:w="11906" w:h="16838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5E8" w:rsidRDefault="003D35E8">
      <w:r>
        <w:separator/>
      </w:r>
    </w:p>
  </w:endnote>
  <w:endnote w:type="continuationSeparator" w:id="0">
    <w:p w:rsidR="003D35E8" w:rsidRDefault="003D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Symbo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53C" w:rsidRDefault="00A0353C" w:rsidP="00E9443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0353C" w:rsidRDefault="00A0353C" w:rsidP="00E94437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53C" w:rsidRDefault="00A0353C" w:rsidP="00E9443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20D68">
      <w:rPr>
        <w:rStyle w:val="Brojstranice"/>
      </w:rPr>
      <w:t>7</w:t>
    </w:r>
    <w:r>
      <w:rPr>
        <w:rStyle w:val="Brojstranice"/>
      </w:rPr>
      <w:fldChar w:fldCharType="end"/>
    </w:r>
  </w:p>
  <w:p w:rsidR="00A0353C" w:rsidRDefault="00A0353C" w:rsidP="00E94437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5E8" w:rsidRDefault="003D35E8">
      <w:r>
        <w:separator/>
      </w:r>
    </w:p>
  </w:footnote>
  <w:footnote w:type="continuationSeparator" w:id="0">
    <w:p w:rsidR="003D35E8" w:rsidRDefault="003D35E8">
      <w:r>
        <w:continuationSeparator/>
      </w:r>
    </w:p>
  </w:footnote>
  <w:footnote w:id="1">
    <w:p w:rsidR="00A0353C" w:rsidRDefault="00A0353C" w:rsidP="00384825">
      <w:pPr>
        <w:pStyle w:val="Tekstfusnote"/>
        <w:spacing w:line="240" w:lineRule="auto"/>
        <w:ind w:firstLine="0"/>
        <w:rPr>
          <w:color w:val="2E1A82"/>
          <w:sz w:val="16"/>
          <w:szCs w:val="16"/>
        </w:rPr>
      </w:pPr>
      <w:r w:rsidRPr="000649F6">
        <w:rPr>
          <w:color w:val="2E1A82"/>
          <w:sz w:val="16"/>
          <w:szCs w:val="16"/>
          <w:vertAlign w:val="superscript"/>
        </w:rPr>
        <w:footnoteRef/>
      </w:r>
      <w:r w:rsidRPr="000649F6">
        <w:rPr>
          <w:color w:val="2E1A82"/>
          <w:sz w:val="16"/>
          <w:szCs w:val="16"/>
        </w:rPr>
        <w:t xml:space="preserve"> Wird bei der Hervorhebung nicht differenziert, bleibt oft unklar, ob es sich um ein exaktes Zitat, einen kontexttypischen Begriff oder um uneigentliches Sprechen handelt. Vgl.:</w:t>
      </w:r>
      <w:r>
        <w:rPr>
          <w:color w:val="2E1A82"/>
          <w:sz w:val="16"/>
          <w:szCs w:val="16"/>
        </w:rPr>
        <w:t xml:space="preserve"> </w:t>
      </w:r>
    </w:p>
    <w:p w:rsidR="00A0353C" w:rsidRPr="000649F6" w:rsidRDefault="00A0353C" w:rsidP="00384825">
      <w:pPr>
        <w:pStyle w:val="Tekstfusnote"/>
        <w:spacing w:line="240" w:lineRule="auto"/>
        <w:ind w:firstLine="0"/>
        <w:rPr>
          <w:color w:val="2E1A82"/>
          <w:sz w:val="16"/>
          <w:szCs w:val="16"/>
        </w:rPr>
      </w:pPr>
      <w:r w:rsidRPr="000649F6">
        <w:rPr>
          <w:color w:val="2E1A82"/>
          <w:sz w:val="16"/>
          <w:szCs w:val="16"/>
        </w:rPr>
        <w:t>…Alfred Gern und Paul Riedel betreiben in der Gestaltung der Liebe eine po</w:t>
      </w:r>
      <w:r w:rsidRPr="000649F6">
        <w:rPr>
          <w:color w:val="2E1A82"/>
          <w:sz w:val="16"/>
          <w:szCs w:val="16"/>
        </w:rPr>
        <w:t>e</w:t>
      </w:r>
      <w:r w:rsidRPr="000649F6">
        <w:rPr>
          <w:color w:val="2E1A82"/>
          <w:sz w:val="16"/>
          <w:szCs w:val="16"/>
        </w:rPr>
        <w:t>tisch-philosophische Gestaltung »elementarer Probleme des Menschenl</w:t>
      </w:r>
      <w:r w:rsidRPr="000649F6">
        <w:rPr>
          <w:color w:val="2E1A82"/>
          <w:sz w:val="16"/>
          <w:szCs w:val="16"/>
        </w:rPr>
        <w:t>e</w:t>
      </w:r>
      <w:r w:rsidRPr="000649F6">
        <w:rPr>
          <w:color w:val="2E1A82"/>
          <w:sz w:val="16"/>
          <w:szCs w:val="16"/>
        </w:rPr>
        <w:t xml:space="preserve">bens« (Gern 2048, S. 30). Diese </w:t>
      </w:r>
      <w:r w:rsidRPr="000649F6">
        <w:rPr>
          <w:color w:val="2E1A82"/>
          <w:sz w:val="16"/>
          <w:szCs w:val="16"/>
          <w:u w:val="single"/>
        </w:rPr>
        <w:t>»Problemgeschichte«</w:t>
      </w:r>
      <w:r w:rsidRPr="000649F6">
        <w:rPr>
          <w:color w:val="2E1A82"/>
          <w:sz w:val="16"/>
          <w:szCs w:val="16"/>
        </w:rPr>
        <w:t xml:space="preserve"> findet ihren Niederschlag in Alfred Gerns Romantrilogie…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E79"/>
    <w:multiLevelType w:val="hybridMultilevel"/>
    <w:tmpl w:val="FEB40B0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20A35"/>
    <w:multiLevelType w:val="hybridMultilevel"/>
    <w:tmpl w:val="392CA5D6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2716B"/>
    <w:multiLevelType w:val="hybridMultilevel"/>
    <w:tmpl w:val="5EC4D8D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721E7"/>
    <w:multiLevelType w:val="hybridMultilevel"/>
    <w:tmpl w:val="C98234E0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B369FB"/>
    <w:multiLevelType w:val="hybridMultilevel"/>
    <w:tmpl w:val="2DFEEBC6"/>
    <w:lvl w:ilvl="0" w:tplc="D0B40FFC">
      <w:start w:val="1"/>
      <w:numFmt w:val="bullet"/>
      <w:lvlText w:val=""/>
      <w:lvlJc w:val="left"/>
      <w:pPr>
        <w:tabs>
          <w:tab w:val="num" w:pos="284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955CD"/>
    <w:multiLevelType w:val="hybridMultilevel"/>
    <w:tmpl w:val="24C627E2"/>
    <w:lvl w:ilvl="0" w:tplc="282CA9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B45736"/>
    <w:multiLevelType w:val="hybridMultilevel"/>
    <w:tmpl w:val="D3B0B49E"/>
    <w:lvl w:ilvl="0" w:tplc="D0B40FFC">
      <w:start w:val="1"/>
      <w:numFmt w:val="bullet"/>
      <w:lvlText w:val=""/>
      <w:lvlJc w:val="left"/>
      <w:pPr>
        <w:tabs>
          <w:tab w:val="num" w:pos="284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70163"/>
    <w:multiLevelType w:val="hybridMultilevel"/>
    <w:tmpl w:val="A170C4E2"/>
    <w:lvl w:ilvl="0" w:tplc="D0B40FFC">
      <w:start w:val="1"/>
      <w:numFmt w:val="bullet"/>
      <w:lvlText w:val=""/>
      <w:lvlJc w:val="left"/>
      <w:pPr>
        <w:tabs>
          <w:tab w:val="num" w:pos="284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C1120"/>
    <w:multiLevelType w:val="hybridMultilevel"/>
    <w:tmpl w:val="76B0B00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D06ACC"/>
    <w:multiLevelType w:val="hybridMultilevel"/>
    <w:tmpl w:val="488A251C"/>
    <w:lvl w:ilvl="0" w:tplc="D0B40FFC">
      <w:start w:val="1"/>
      <w:numFmt w:val="bullet"/>
      <w:lvlText w:val=""/>
      <w:lvlJc w:val="left"/>
      <w:pPr>
        <w:tabs>
          <w:tab w:val="num" w:pos="284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402B9"/>
    <w:multiLevelType w:val="hybridMultilevel"/>
    <w:tmpl w:val="DCF89ED6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6F7347"/>
    <w:multiLevelType w:val="hybridMultilevel"/>
    <w:tmpl w:val="60089E5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F8796A"/>
    <w:multiLevelType w:val="hybridMultilevel"/>
    <w:tmpl w:val="498003EA"/>
    <w:lvl w:ilvl="0" w:tplc="D0B40FFC">
      <w:start w:val="1"/>
      <w:numFmt w:val="bullet"/>
      <w:lvlText w:val=""/>
      <w:lvlJc w:val="left"/>
      <w:pPr>
        <w:tabs>
          <w:tab w:val="num" w:pos="284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F5E61"/>
    <w:multiLevelType w:val="hybridMultilevel"/>
    <w:tmpl w:val="67DA80AA"/>
    <w:lvl w:ilvl="0" w:tplc="D0B40FFC">
      <w:start w:val="1"/>
      <w:numFmt w:val="bullet"/>
      <w:lvlText w:val=""/>
      <w:lvlJc w:val="left"/>
      <w:pPr>
        <w:tabs>
          <w:tab w:val="num" w:pos="284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948F5"/>
    <w:multiLevelType w:val="multilevel"/>
    <w:tmpl w:val="EDEAD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886753"/>
    <w:multiLevelType w:val="hybridMultilevel"/>
    <w:tmpl w:val="D39A3EEC"/>
    <w:lvl w:ilvl="0" w:tplc="C2B40ACE">
      <w:start w:val="1"/>
      <w:numFmt w:val="bullet"/>
      <w:lvlText w:val=""/>
      <w:lvlJc w:val="left"/>
      <w:pPr>
        <w:tabs>
          <w:tab w:val="num" w:pos="284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7085E"/>
    <w:multiLevelType w:val="hybridMultilevel"/>
    <w:tmpl w:val="7042F5D6"/>
    <w:lvl w:ilvl="0" w:tplc="D0B40FFC">
      <w:start w:val="1"/>
      <w:numFmt w:val="bullet"/>
      <w:lvlText w:val=""/>
      <w:lvlJc w:val="left"/>
      <w:pPr>
        <w:tabs>
          <w:tab w:val="num" w:pos="284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818BC"/>
    <w:multiLevelType w:val="hybridMultilevel"/>
    <w:tmpl w:val="3B0C9D44"/>
    <w:lvl w:ilvl="0" w:tplc="D0B40FFC">
      <w:start w:val="1"/>
      <w:numFmt w:val="bullet"/>
      <w:lvlText w:val=""/>
      <w:lvlJc w:val="left"/>
      <w:pPr>
        <w:tabs>
          <w:tab w:val="num" w:pos="284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C1B11"/>
    <w:multiLevelType w:val="hybridMultilevel"/>
    <w:tmpl w:val="7D520EB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3"/>
  </w:num>
  <w:num w:numId="5">
    <w:abstractNumId w:val="16"/>
  </w:num>
  <w:num w:numId="6">
    <w:abstractNumId w:val="15"/>
  </w:num>
  <w:num w:numId="7">
    <w:abstractNumId w:val="17"/>
  </w:num>
  <w:num w:numId="8">
    <w:abstractNumId w:val="6"/>
  </w:num>
  <w:num w:numId="9">
    <w:abstractNumId w:val="7"/>
  </w:num>
  <w:num w:numId="10">
    <w:abstractNumId w:val="18"/>
  </w:num>
  <w:num w:numId="11">
    <w:abstractNumId w:val="11"/>
  </w:num>
  <w:num w:numId="12">
    <w:abstractNumId w:val="2"/>
  </w:num>
  <w:num w:numId="13">
    <w:abstractNumId w:val="1"/>
  </w:num>
  <w:num w:numId="14">
    <w:abstractNumId w:val="10"/>
  </w:num>
  <w:num w:numId="15">
    <w:abstractNumId w:val="0"/>
  </w:num>
  <w:num w:numId="16">
    <w:abstractNumId w:val="3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0C36"/>
    <w:rsid w:val="000065D1"/>
    <w:rsid w:val="000077E2"/>
    <w:rsid w:val="00010332"/>
    <w:rsid w:val="000115FB"/>
    <w:rsid w:val="00012DBF"/>
    <w:rsid w:val="00032002"/>
    <w:rsid w:val="00032B8A"/>
    <w:rsid w:val="00040EFE"/>
    <w:rsid w:val="0004316E"/>
    <w:rsid w:val="00051AFF"/>
    <w:rsid w:val="0005752F"/>
    <w:rsid w:val="00060DB2"/>
    <w:rsid w:val="000649F6"/>
    <w:rsid w:val="000678C4"/>
    <w:rsid w:val="000819C4"/>
    <w:rsid w:val="000847DE"/>
    <w:rsid w:val="00085F92"/>
    <w:rsid w:val="000979C6"/>
    <w:rsid w:val="000A6759"/>
    <w:rsid w:val="000A7571"/>
    <w:rsid w:val="000B7C78"/>
    <w:rsid w:val="000C04E4"/>
    <w:rsid w:val="000C7B53"/>
    <w:rsid w:val="000D296C"/>
    <w:rsid w:val="000D4EF8"/>
    <w:rsid w:val="000F636B"/>
    <w:rsid w:val="000F6990"/>
    <w:rsid w:val="000F7B2F"/>
    <w:rsid w:val="00102C27"/>
    <w:rsid w:val="001105E9"/>
    <w:rsid w:val="00112880"/>
    <w:rsid w:val="00116495"/>
    <w:rsid w:val="0012004C"/>
    <w:rsid w:val="00125E52"/>
    <w:rsid w:val="00125E6A"/>
    <w:rsid w:val="001327BD"/>
    <w:rsid w:val="00157DAA"/>
    <w:rsid w:val="00160404"/>
    <w:rsid w:val="00163F3B"/>
    <w:rsid w:val="001765F2"/>
    <w:rsid w:val="00180EA5"/>
    <w:rsid w:val="00186E8C"/>
    <w:rsid w:val="001878AE"/>
    <w:rsid w:val="0019376C"/>
    <w:rsid w:val="00193DA9"/>
    <w:rsid w:val="001A1B91"/>
    <w:rsid w:val="001B55DE"/>
    <w:rsid w:val="001C0FA3"/>
    <w:rsid w:val="001D1067"/>
    <w:rsid w:val="001E5765"/>
    <w:rsid w:val="001E7C7C"/>
    <w:rsid w:val="00201728"/>
    <w:rsid w:val="00204F42"/>
    <w:rsid w:val="002133BD"/>
    <w:rsid w:val="00220D68"/>
    <w:rsid w:val="00226659"/>
    <w:rsid w:val="0023261E"/>
    <w:rsid w:val="00240A6C"/>
    <w:rsid w:val="00242A4B"/>
    <w:rsid w:val="00247564"/>
    <w:rsid w:val="00254872"/>
    <w:rsid w:val="002625CF"/>
    <w:rsid w:val="00267A67"/>
    <w:rsid w:val="002729BE"/>
    <w:rsid w:val="0028062E"/>
    <w:rsid w:val="0028231B"/>
    <w:rsid w:val="00290B02"/>
    <w:rsid w:val="002A4D0E"/>
    <w:rsid w:val="002A5C32"/>
    <w:rsid w:val="002B54A5"/>
    <w:rsid w:val="002B5A48"/>
    <w:rsid w:val="002C0868"/>
    <w:rsid w:val="002C5DA7"/>
    <w:rsid w:val="002D6724"/>
    <w:rsid w:val="002D7065"/>
    <w:rsid w:val="002E21D8"/>
    <w:rsid w:val="002F1D0B"/>
    <w:rsid w:val="002F5490"/>
    <w:rsid w:val="00304422"/>
    <w:rsid w:val="00305BBC"/>
    <w:rsid w:val="00307D30"/>
    <w:rsid w:val="0031155B"/>
    <w:rsid w:val="003131AF"/>
    <w:rsid w:val="003178A6"/>
    <w:rsid w:val="00317BFE"/>
    <w:rsid w:val="003223B0"/>
    <w:rsid w:val="00336BF1"/>
    <w:rsid w:val="00344B1C"/>
    <w:rsid w:val="0035668E"/>
    <w:rsid w:val="0035727B"/>
    <w:rsid w:val="00384825"/>
    <w:rsid w:val="00387FE0"/>
    <w:rsid w:val="00394345"/>
    <w:rsid w:val="003968AA"/>
    <w:rsid w:val="00396E4B"/>
    <w:rsid w:val="003A1927"/>
    <w:rsid w:val="003A61EF"/>
    <w:rsid w:val="003A7EEB"/>
    <w:rsid w:val="003B3A60"/>
    <w:rsid w:val="003B73B9"/>
    <w:rsid w:val="003C098C"/>
    <w:rsid w:val="003C3D86"/>
    <w:rsid w:val="003D35E8"/>
    <w:rsid w:val="003E23DE"/>
    <w:rsid w:val="003E579E"/>
    <w:rsid w:val="003F0360"/>
    <w:rsid w:val="003F065F"/>
    <w:rsid w:val="003F3632"/>
    <w:rsid w:val="003F4E41"/>
    <w:rsid w:val="003F5997"/>
    <w:rsid w:val="003F5FF2"/>
    <w:rsid w:val="00425A0D"/>
    <w:rsid w:val="004340CF"/>
    <w:rsid w:val="004369C7"/>
    <w:rsid w:val="00455862"/>
    <w:rsid w:val="00464804"/>
    <w:rsid w:val="00472F45"/>
    <w:rsid w:val="00477D9A"/>
    <w:rsid w:val="00480065"/>
    <w:rsid w:val="00482E46"/>
    <w:rsid w:val="00485A1A"/>
    <w:rsid w:val="00486BFC"/>
    <w:rsid w:val="004A0CC9"/>
    <w:rsid w:val="004A22DD"/>
    <w:rsid w:val="004C7724"/>
    <w:rsid w:val="004E7E83"/>
    <w:rsid w:val="004F5883"/>
    <w:rsid w:val="00513579"/>
    <w:rsid w:val="0051515F"/>
    <w:rsid w:val="00523869"/>
    <w:rsid w:val="00532591"/>
    <w:rsid w:val="00533FE9"/>
    <w:rsid w:val="00537200"/>
    <w:rsid w:val="005429DD"/>
    <w:rsid w:val="00551174"/>
    <w:rsid w:val="00551A59"/>
    <w:rsid w:val="0056672B"/>
    <w:rsid w:val="005701E9"/>
    <w:rsid w:val="00576D45"/>
    <w:rsid w:val="00580B50"/>
    <w:rsid w:val="00582632"/>
    <w:rsid w:val="005833C9"/>
    <w:rsid w:val="00591A0A"/>
    <w:rsid w:val="005965A7"/>
    <w:rsid w:val="005A31E4"/>
    <w:rsid w:val="005A3C58"/>
    <w:rsid w:val="005A5853"/>
    <w:rsid w:val="005B112B"/>
    <w:rsid w:val="005B60D9"/>
    <w:rsid w:val="005B6E2E"/>
    <w:rsid w:val="005C48F2"/>
    <w:rsid w:val="005C5A59"/>
    <w:rsid w:val="005D6BD7"/>
    <w:rsid w:val="005E0EB1"/>
    <w:rsid w:val="005E6654"/>
    <w:rsid w:val="005F2CE7"/>
    <w:rsid w:val="00616CFC"/>
    <w:rsid w:val="00620D65"/>
    <w:rsid w:val="00622990"/>
    <w:rsid w:val="00631B1E"/>
    <w:rsid w:val="0064767F"/>
    <w:rsid w:val="006562E0"/>
    <w:rsid w:val="00656F4A"/>
    <w:rsid w:val="006618B3"/>
    <w:rsid w:val="006702D4"/>
    <w:rsid w:val="00674228"/>
    <w:rsid w:val="006A4CFE"/>
    <w:rsid w:val="006C7A0D"/>
    <w:rsid w:val="006E03EF"/>
    <w:rsid w:val="007015C2"/>
    <w:rsid w:val="0071170D"/>
    <w:rsid w:val="00724487"/>
    <w:rsid w:val="00736102"/>
    <w:rsid w:val="0074467D"/>
    <w:rsid w:val="00751E96"/>
    <w:rsid w:val="00761015"/>
    <w:rsid w:val="00767CBA"/>
    <w:rsid w:val="007A7599"/>
    <w:rsid w:val="007B3BFA"/>
    <w:rsid w:val="007B3FEC"/>
    <w:rsid w:val="007C26CA"/>
    <w:rsid w:val="007C3C31"/>
    <w:rsid w:val="007D26A8"/>
    <w:rsid w:val="007D57CE"/>
    <w:rsid w:val="007F04BD"/>
    <w:rsid w:val="007F65DE"/>
    <w:rsid w:val="0080723B"/>
    <w:rsid w:val="008072F8"/>
    <w:rsid w:val="008132A1"/>
    <w:rsid w:val="00841C41"/>
    <w:rsid w:val="0084277F"/>
    <w:rsid w:val="00843687"/>
    <w:rsid w:val="008470B5"/>
    <w:rsid w:val="00850250"/>
    <w:rsid w:val="008603F3"/>
    <w:rsid w:val="00862E47"/>
    <w:rsid w:val="0086431D"/>
    <w:rsid w:val="00865CC4"/>
    <w:rsid w:val="008749BB"/>
    <w:rsid w:val="008817CC"/>
    <w:rsid w:val="00887FA4"/>
    <w:rsid w:val="00891516"/>
    <w:rsid w:val="008953E1"/>
    <w:rsid w:val="008B4B4A"/>
    <w:rsid w:val="008B515E"/>
    <w:rsid w:val="008B649C"/>
    <w:rsid w:val="008B7F24"/>
    <w:rsid w:val="008C07C5"/>
    <w:rsid w:val="008D6300"/>
    <w:rsid w:val="008E08A4"/>
    <w:rsid w:val="008E1031"/>
    <w:rsid w:val="008F318F"/>
    <w:rsid w:val="008F3AD7"/>
    <w:rsid w:val="008F6038"/>
    <w:rsid w:val="00903854"/>
    <w:rsid w:val="00911C57"/>
    <w:rsid w:val="00911D18"/>
    <w:rsid w:val="0091386A"/>
    <w:rsid w:val="00933804"/>
    <w:rsid w:val="00952BF1"/>
    <w:rsid w:val="00953181"/>
    <w:rsid w:val="00977D38"/>
    <w:rsid w:val="00985131"/>
    <w:rsid w:val="00986209"/>
    <w:rsid w:val="0098795D"/>
    <w:rsid w:val="009949D4"/>
    <w:rsid w:val="009967C1"/>
    <w:rsid w:val="009B5DB5"/>
    <w:rsid w:val="009B6C2A"/>
    <w:rsid w:val="009C03AB"/>
    <w:rsid w:val="009F2536"/>
    <w:rsid w:val="009F5FAE"/>
    <w:rsid w:val="00A0353C"/>
    <w:rsid w:val="00A07715"/>
    <w:rsid w:val="00A100DC"/>
    <w:rsid w:val="00A43C26"/>
    <w:rsid w:val="00A451A5"/>
    <w:rsid w:val="00A46141"/>
    <w:rsid w:val="00A54B95"/>
    <w:rsid w:val="00A63BC1"/>
    <w:rsid w:val="00A732CA"/>
    <w:rsid w:val="00A73B94"/>
    <w:rsid w:val="00A73EFE"/>
    <w:rsid w:val="00A74DAD"/>
    <w:rsid w:val="00A8053B"/>
    <w:rsid w:val="00A82DDB"/>
    <w:rsid w:val="00A90301"/>
    <w:rsid w:val="00A90C36"/>
    <w:rsid w:val="00A91D09"/>
    <w:rsid w:val="00A92DAA"/>
    <w:rsid w:val="00A9649B"/>
    <w:rsid w:val="00AD090A"/>
    <w:rsid w:val="00AD22FA"/>
    <w:rsid w:val="00AE24D2"/>
    <w:rsid w:val="00AE445D"/>
    <w:rsid w:val="00AE53D6"/>
    <w:rsid w:val="00AF026B"/>
    <w:rsid w:val="00B02C6C"/>
    <w:rsid w:val="00B03B81"/>
    <w:rsid w:val="00B04A0F"/>
    <w:rsid w:val="00B05063"/>
    <w:rsid w:val="00B148ED"/>
    <w:rsid w:val="00B33700"/>
    <w:rsid w:val="00B52247"/>
    <w:rsid w:val="00B5502B"/>
    <w:rsid w:val="00B55D40"/>
    <w:rsid w:val="00B57D9A"/>
    <w:rsid w:val="00B60A2A"/>
    <w:rsid w:val="00B658F4"/>
    <w:rsid w:val="00B6776F"/>
    <w:rsid w:val="00B81313"/>
    <w:rsid w:val="00B81824"/>
    <w:rsid w:val="00B83B26"/>
    <w:rsid w:val="00B848FD"/>
    <w:rsid w:val="00B86CF3"/>
    <w:rsid w:val="00B93FBA"/>
    <w:rsid w:val="00BA237F"/>
    <w:rsid w:val="00BA2484"/>
    <w:rsid w:val="00BC544C"/>
    <w:rsid w:val="00BD35DE"/>
    <w:rsid w:val="00BD63D5"/>
    <w:rsid w:val="00C01225"/>
    <w:rsid w:val="00C051C4"/>
    <w:rsid w:val="00C263CA"/>
    <w:rsid w:val="00C32945"/>
    <w:rsid w:val="00C358A6"/>
    <w:rsid w:val="00C36ACF"/>
    <w:rsid w:val="00C37C6E"/>
    <w:rsid w:val="00C42ECC"/>
    <w:rsid w:val="00C52ACC"/>
    <w:rsid w:val="00C639AA"/>
    <w:rsid w:val="00C640F9"/>
    <w:rsid w:val="00C736F6"/>
    <w:rsid w:val="00C73892"/>
    <w:rsid w:val="00C772E6"/>
    <w:rsid w:val="00C85F1E"/>
    <w:rsid w:val="00C8612A"/>
    <w:rsid w:val="00C90264"/>
    <w:rsid w:val="00CB20CE"/>
    <w:rsid w:val="00CD2114"/>
    <w:rsid w:val="00CE7C6D"/>
    <w:rsid w:val="00CF3262"/>
    <w:rsid w:val="00CF36A8"/>
    <w:rsid w:val="00CF7BB2"/>
    <w:rsid w:val="00D0118C"/>
    <w:rsid w:val="00D04D41"/>
    <w:rsid w:val="00D14087"/>
    <w:rsid w:val="00D2038B"/>
    <w:rsid w:val="00D21390"/>
    <w:rsid w:val="00D347D9"/>
    <w:rsid w:val="00D35D78"/>
    <w:rsid w:val="00D36130"/>
    <w:rsid w:val="00D37E76"/>
    <w:rsid w:val="00D409F2"/>
    <w:rsid w:val="00D477E7"/>
    <w:rsid w:val="00D573E4"/>
    <w:rsid w:val="00D60BCA"/>
    <w:rsid w:val="00D6589D"/>
    <w:rsid w:val="00D67062"/>
    <w:rsid w:val="00D72326"/>
    <w:rsid w:val="00D85D0C"/>
    <w:rsid w:val="00D86DC4"/>
    <w:rsid w:val="00DA143E"/>
    <w:rsid w:val="00DB5E65"/>
    <w:rsid w:val="00DD2299"/>
    <w:rsid w:val="00DD3CD7"/>
    <w:rsid w:val="00E05D2F"/>
    <w:rsid w:val="00E14E53"/>
    <w:rsid w:val="00E22F8D"/>
    <w:rsid w:val="00E24030"/>
    <w:rsid w:val="00E41936"/>
    <w:rsid w:val="00E50E3E"/>
    <w:rsid w:val="00E764E6"/>
    <w:rsid w:val="00E91E81"/>
    <w:rsid w:val="00E92849"/>
    <w:rsid w:val="00E93502"/>
    <w:rsid w:val="00E94437"/>
    <w:rsid w:val="00E960BA"/>
    <w:rsid w:val="00EA2A00"/>
    <w:rsid w:val="00EA5D92"/>
    <w:rsid w:val="00EB5BF3"/>
    <w:rsid w:val="00EB7070"/>
    <w:rsid w:val="00EC35C0"/>
    <w:rsid w:val="00EC3FAE"/>
    <w:rsid w:val="00EC51EC"/>
    <w:rsid w:val="00ED5ED9"/>
    <w:rsid w:val="00EE0851"/>
    <w:rsid w:val="00EE585C"/>
    <w:rsid w:val="00EF29E3"/>
    <w:rsid w:val="00EF2DB3"/>
    <w:rsid w:val="00EF3826"/>
    <w:rsid w:val="00EF5C6F"/>
    <w:rsid w:val="00EF68FC"/>
    <w:rsid w:val="00F03115"/>
    <w:rsid w:val="00F1358A"/>
    <w:rsid w:val="00F1799C"/>
    <w:rsid w:val="00F23C5D"/>
    <w:rsid w:val="00F2652C"/>
    <w:rsid w:val="00F26F21"/>
    <w:rsid w:val="00F271D2"/>
    <w:rsid w:val="00F33435"/>
    <w:rsid w:val="00F408A3"/>
    <w:rsid w:val="00F416BA"/>
    <w:rsid w:val="00F42C1A"/>
    <w:rsid w:val="00F4346C"/>
    <w:rsid w:val="00F62CF2"/>
    <w:rsid w:val="00F645AE"/>
    <w:rsid w:val="00F6602A"/>
    <w:rsid w:val="00F660E7"/>
    <w:rsid w:val="00F66B03"/>
    <w:rsid w:val="00F81AAB"/>
    <w:rsid w:val="00F87790"/>
    <w:rsid w:val="00F95055"/>
    <w:rsid w:val="00FB4347"/>
    <w:rsid w:val="00FC396A"/>
    <w:rsid w:val="00FC3E6A"/>
    <w:rsid w:val="00FC6809"/>
    <w:rsid w:val="00FD0C3A"/>
    <w:rsid w:val="00FD6DCB"/>
    <w:rsid w:val="00FE12C5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300DC-FAD9-4795-8E10-F54A85C5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22DD"/>
    <w:pPr>
      <w:spacing w:line="360" w:lineRule="auto"/>
      <w:ind w:firstLine="284"/>
    </w:pPr>
    <w:rPr>
      <w:noProof/>
      <w:sz w:val="24"/>
      <w:szCs w:val="24"/>
      <w:lang w:val="de-DE" w:eastAsia="hr-HR"/>
    </w:rPr>
  </w:style>
  <w:style w:type="paragraph" w:styleId="Naslov1">
    <w:name w:val="heading 1"/>
    <w:basedOn w:val="Normal"/>
    <w:next w:val="Normal"/>
    <w:qFormat/>
    <w:rsid w:val="004A22DD"/>
    <w:pPr>
      <w:keepNext/>
      <w:ind w:firstLine="0"/>
      <w:outlineLvl w:val="0"/>
    </w:pPr>
    <w:rPr>
      <w:rFonts w:cs="Arial"/>
      <w:b/>
      <w:bCs/>
      <w:kern w:val="32"/>
    </w:rPr>
  </w:style>
  <w:style w:type="paragraph" w:styleId="Naslov4">
    <w:name w:val="heading 4"/>
    <w:basedOn w:val="Normal"/>
    <w:next w:val="Normal"/>
    <w:qFormat/>
    <w:rsid w:val="00D213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Hiperveza">
    <w:name w:val="Hyperlink"/>
    <w:rPr>
      <w:color w:val="0000FF"/>
      <w:u w:val="single"/>
    </w:rPr>
  </w:style>
  <w:style w:type="paragraph" w:customStyle="1" w:styleId="d">
    <w:name w:val="d"/>
    <w:basedOn w:val="Normal"/>
    <w:pPr>
      <w:spacing w:before="100" w:beforeAutospacing="1" w:after="100" w:afterAutospacing="1"/>
    </w:pPr>
    <w:rPr>
      <w:rFonts w:ascii="Arial" w:hAnsi="Arial" w:cs="Arial"/>
      <w:noProof w:val="0"/>
      <w:color w:val="000000"/>
      <w:sz w:val="12"/>
      <w:szCs w:val="12"/>
      <w:lang w:val="hr-HR"/>
    </w:rPr>
  </w:style>
  <w:style w:type="character" w:styleId="SlijeenaHiperveza">
    <w:name w:val="FollowedHyperlink"/>
    <w:rPr>
      <w:color w:val="800080"/>
      <w:u w:val="single"/>
    </w:rPr>
  </w:style>
  <w:style w:type="paragraph" w:styleId="Tekstfusnote">
    <w:name w:val="footnote text"/>
    <w:basedOn w:val="Normal"/>
    <w:link w:val="TekstfusnoteChar"/>
    <w:semiHidden/>
    <w:rsid w:val="00AF026B"/>
    <w:rPr>
      <w:sz w:val="20"/>
      <w:szCs w:val="20"/>
    </w:rPr>
  </w:style>
  <w:style w:type="character" w:styleId="Referencafusnote">
    <w:name w:val="footnote reference"/>
    <w:semiHidden/>
    <w:rsid w:val="00AF026B"/>
    <w:rPr>
      <w:vertAlign w:val="superscript"/>
    </w:rPr>
  </w:style>
  <w:style w:type="paragraph" w:styleId="Tekstbalonia">
    <w:name w:val="Balloon Text"/>
    <w:basedOn w:val="Normal"/>
    <w:semiHidden/>
    <w:rsid w:val="00F26F21"/>
    <w:rPr>
      <w:rFonts w:ascii="Tahoma" w:hAnsi="Tahoma" w:cs="Tahoma"/>
      <w:sz w:val="16"/>
      <w:szCs w:val="16"/>
    </w:rPr>
  </w:style>
  <w:style w:type="paragraph" w:styleId="Podnoje">
    <w:name w:val="footer"/>
    <w:basedOn w:val="Normal"/>
    <w:rsid w:val="00E9443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94437"/>
  </w:style>
  <w:style w:type="paragraph" w:styleId="Odlomakpopisa">
    <w:name w:val="List Paragraph"/>
    <w:basedOn w:val="Normal"/>
    <w:uiPriority w:val="34"/>
    <w:qFormat/>
    <w:rsid w:val="00B6776F"/>
    <w:pPr>
      <w:ind w:left="708"/>
    </w:pPr>
  </w:style>
  <w:style w:type="character" w:customStyle="1" w:styleId="TekstfusnoteChar">
    <w:name w:val="Tekst fusnote Char"/>
    <w:link w:val="Tekstfusnote"/>
    <w:locked/>
    <w:rsid w:val="00D37E76"/>
    <w:rPr>
      <w:noProof/>
      <w:lang w:val="de-DE" w:eastAsia="hr-HR" w:bidi="ar-SA"/>
    </w:rPr>
  </w:style>
  <w:style w:type="character" w:styleId="Referencakomentara">
    <w:name w:val="annotation reference"/>
    <w:semiHidden/>
    <w:rsid w:val="0084277F"/>
    <w:rPr>
      <w:sz w:val="16"/>
      <w:szCs w:val="16"/>
    </w:rPr>
  </w:style>
  <w:style w:type="paragraph" w:styleId="Tekstkomentara">
    <w:name w:val="annotation text"/>
    <w:basedOn w:val="Normal"/>
    <w:semiHidden/>
    <w:rsid w:val="0084277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84277F"/>
    <w:rPr>
      <w:b/>
      <w:bCs/>
    </w:rPr>
  </w:style>
  <w:style w:type="character" w:customStyle="1" w:styleId="reference-text">
    <w:name w:val="reference-text"/>
    <w:basedOn w:val="Zadanifontodlomka"/>
    <w:rsid w:val="0071170D"/>
  </w:style>
  <w:style w:type="paragraph" w:styleId="StandardWeb">
    <w:name w:val="Normal (Web)"/>
    <w:basedOn w:val="Normal"/>
    <w:uiPriority w:val="99"/>
    <w:unhideWhenUsed/>
    <w:rsid w:val="00B86CF3"/>
    <w:pPr>
      <w:spacing w:before="100" w:beforeAutospacing="1" w:after="100" w:afterAutospacing="1" w:line="240" w:lineRule="auto"/>
      <w:ind w:firstLine="0"/>
    </w:pPr>
    <w:rPr>
      <w:noProof w:val="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kanien.ac.at/beitr/fallstudie/MCar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Hans_Jakob_Christoffel_von_Grimmelshaus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erstandard.at/1345166498910/Wir-lassen-uns-gerne-taeuschen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1458</Words>
  <Characters>8317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Filozofski fakultet</Company>
  <LinksUpToDate>false</LinksUpToDate>
  <CharactersWithSpaces>9756</CharactersWithSpaces>
  <SharedDoc>false</SharedDoc>
  <HLinks>
    <vt:vector size="18" baseType="variant"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http://derstandard.at/1345166498910/Wir-lassen-uns-gerne-taeuschen</vt:lpwstr>
      </vt:variant>
      <vt:variant>
        <vt:lpwstr/>
      </vt:variant>
      <vt:variant>
        <vt:i4>5111812</vt:i4>
      </vt:variant>
      <vt:variant>
        <vt:i4>3</vt:i4>
      </vt:variant>
      <vt:variant>
        <vt:i4>0</vt:i4>
      </vt:variant>
      <vt:variant>
        <vt:i4>5</vt:i4>
      </vt:variant>
      <vt:variant>
        <vt:lpwstr>http://www.kakanien.ac.at/beitr/fallstudie/MCar1.pdf</vt:lpwstr>
      </vt:variant>
      <vt:variant>
        <vt:lpwstr/>
      </vt:variant>
      <vt:variant>
        <vt:i4>4128895</vt:i4>
      </vt:variant>
      <vt:variant>
        <vt:i4>0</vt:i4>
      </vt:variant>
      <vt:variant>
        <vt:i4>0</vt:i4>
      </vt:variant>
      <vt:variant>
        <vt:i4>5</vt:i4>
      </vt:variant>
      <vt:variant>
        <vt:lpwstr>https://de.wikipedia.org/wiki/Hans_Jakob_Christoffel_von_Grimmelshausen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Vidulic</dc:creator>
  <cp:keywords/>
  <cp:lastModifiedBy>Monika</cp:lastModifiedBy>
  <cp:revision>2</cp:revision>
  <cp:lastPrinted>2013-05-16T08:16:00Z</cp:lastPrinted>
  <dcterms:created xsi:type="dcterms:W3CDTF">2019-02-06T15:30:00Z</dcterms:created>
  <dcterms:modified xsi:type="dcterms:W3CDTF">2019-02-06T15:30:00Z</dcterms:modified>
</cp:coreProperties>
</file>